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58C5" w14:textId="13C007A0" w:rsidR="00025AC5" w:rsidRPr="00DC01CC" w:rsidRDefault="007A1B99" w:rsidP="00653F28">
      <w:pPr>
        <w:jc w:val="center"/>
        <w:rPr>
          <w:rFonts w:cstheme="minorHAnsi"/>
          <w:b/>
          <w:bCs/>
          <w:sz w:val="22"/>
          <w:szCs w:val="22"/>
        </w:rPr>
      </w:pPr>
      <w:r w:rsidRPr="00DC01CC">
        <w:rPr>
          <w:rFonts w:cstheme="minorHAnsi"/>
          <w:b/>
          <w:bCs/>
          <w:sz w:val="22"/>
          <w:szCs w:val="22"/>
        </w:rPr>
        <w:t>Advance Notice Template Comments</w:t>
      </w:r>
      <w:r w:rsidR="00B7100F">
        <w:rPr>
          <w:rFonts w:cstheme="minorHAnsi"/>
          <w:b/>
          <w:bCs/>
          <w:sz w:val="22"/>
          <w:szCs w:val="22"/>
        </w:rPr>
        <w:t xml:space="preserve"> for Organizations</w:t>
      </w:r>
    </w:p>
    <w:p w14:paraId="1F5DF59D" w14:textId="72A43FEE" w:rsidR="007A1B99" w:rsidRPr="00DC01CC" w:rsidRDefault="007A1B99" w:rsidP="00653F28">
      <w:pPr>
        <w:rPr>
          <w:rFonts w:cstheme="minorHAnsi"/>
          <w:sz w:val="22"/>
          <w:szCs w:val="22"/>
        </w:rPr>
      </w:pPr>
    </w:p>
    <w:p w14:paraId="5164B831" w14:textId="575C0F7C" w:rsidR="007A1B99" w:rsidRPr="00DC01CC" w:rsidRDefault="007A1B99" w:rsidP="00573435">
      <w:pPr>
        <w:spacing w:after="240" w:line="276" w:lineRule="auto"/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[</w:t>
      </w:r>
      <w:r w:rsidRPr="00DC01CC">
        <w:rPr>
          <w:rFonts w:cstheme="minorHAnsi"/>
          <w:sz w:val="22"/>
          <w:szCs w:val="22"/>
          <w:highlight w:val="yellow"/>
        </w:rPr>
        <w:t>Submission Date</w:t>
      </w:r>
      <w:r w:rsidRPr="00DC01CC">
        <w:rPr>
          <w:rFonts w:cstheme="minorHAnsi"/>
          <w:sz w:val="22"/>
          <w:szCs w:val="22"/>
        </w:rPr>
        <w:t>]  </w:t>
      </w:r>
    </w:p>
    <w:p w14:paraId="0E7B3982" w14:textId="2BC18DD1" w:rsidR="007A1B99" w:rsidRPr="00DC01CC" w:rsidRDefault="007A1B99" w:rsidP="00573435">
      <w:pPr>
        <w:spacing w:after="240" w:line="276" w:lineRule="auto"/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Centers for Medicare &amp; Medicaid Services</w:t>
      </w:r>
      <w:r w:rsidRPr="00DC01CC">
        <w:rPr>
          <w:rFonts w:cstheme="minorHAnsi"/>
          <w:sz w:val="22"/>
          <w:szCs w:val="22"/>
        </w:rPr>
        <w:br/>
        <w:t>Department of Health and Human Services</w:t>
      </w:r>
      <w:r w:rsidRPr="00DC01CC">
        <w:rPr>
          <w:rFonts w:cstheme="minorHAnsi"/>
          <w:sz w:val="22"/>
          <w:szCs w:val="22"/>
        </w:rPr>
        <w:br/>
        <w:t>7500 Security Boulevard</w:t>
      </w:r>
      <w:r w:rsidRPr="00DC01CC">
        <w:rPr>
          <w:rFonts w:cstheme="minorHAnsi"/>
          <w:sz w:val="22"/>
          <w:szCs w:val="22"/>
        </w:rPr>
        <w:br/>
        <w:t>Baltimore, MD 21244</w:t>
      </w:r>
    </w:p>
    <w:p w14:paraId="7FA33624" w14:textId="0AE37EF3" w:rsidR="007A1B99" w:rsidRPr="00DC01CC" w:rsidRDefault="007A1B99" w:rsidP="00573435">
      <w:pPr>
        <w:pStyle w:val="Header"/>
        <w:tabs>
          <w:tab w:val="left" w:pos="720"/>
          <w:tab w:val="left" w:pos="3240"/>
          <w:tab w:val="left" w:pos="4680"/>
        </w:tabs>
        <w:spacing w:after="240" w:line="276" w:lineRule="auto"/>
        <w:rPr>
          <w:rFonts w:cstheme="minorHAnsi"/>
          <w:b/>
          <w:bCs/>
          <w:highlight w:val="yellow"/>
        </w:rPr>
      </w:pPr>
      <w:r w:rsidRPr="00DC01CC">
        <w:rPr>
          <w:rFonts w:cstheme="minorHAnsi"/>
          <w:b/>
          <w:bCs/>
        </w:rPr>
        <w:t>Re: Docket No. CMS-2023-0010-0002; Advance Notice of Methodological Changes for Calendar Year (CY) 2024 for Medicare Advantage (MA) Capitation Rates and Part C and Part D Payment Policies</w:t>
      </w:r>
      <w:r w:rsidRPr="00DC01CC">
        <w:rPr>
          <w:rFonts w:cstheme="minorHAnsi"/>
        </w:rPr>
        <w:t> </w:t>
      </w:r>
    </w:p>
    <w:p w14:paraId="709BFAAA" w14:textId="24A202C4" w:rsidR="007A1B99" w:rsidRDefault="007A1B99" w:rsidP="00573435">
      <w:pPr>
        <w:spacing w:after="240" w:line="276" w:lineRule="auto"/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  <w:lang w:val="en"/>
        </w:rPr>
        <w:t>[</w:t>
      </w:r>
      <w:r w:rsidRPr="00DC01CC">
        <w:rPr>
          <w:rFonts w:cstheme="minorHAnsi"/>
          <w:sz w:val="22"/>
          <w:szCs w:val="22"/>
          <w:highlight w:val="yellow"/>
          <w:lang w:val="en"/>
        </w:rPr>
        <w:t>Organization name</w:t>
      </w:r>
      <w:r w:rsidR="00800501">
        <w:rPr>
          <w:rFonts w:cstheme="minorHAnsi"/>
          <w:sz w:val="22"/>
          <w:szCs w:val="22"/>
          <w:highlight w:val="yellow"/>
          <w:lang w:val="en"/>
        </w:rPr>
        <w:t>]</w:t>
      </w:r>
      <w:r w:rsidRPr="00DC01CC">
        <w:rPr>
          <w:rFonts w:cstheme="minorHAnsi"/>
          <w:sz w:val="22"/>
          <w:szCs w:val="22"/>
          <w:highlight w:val="yellow"/>
          <w:lang w:val="en"/>
        </w:rPr>
        <w:t xml:space="preserve"> </w:t>
      </w:r>
      <w:r w:rsidRPr="00800501">
        <w:rPr>
          <w:rFonts w:cstheme="minorHAnsi"/>
          <w:sz w:val="22"/>
          <w:szCs w:val="22"/>
        </w:rPr>
        <w:t>appreciates</w:t>
      </w:r>
      <w:r w:rsidRPr="00DC01CC">
        <w:rPr>
          <w:rFonts w:cstheme="minorHAnsi"/>
          <w:sz w:val="22"/>
          <w:szCs w:val="22"/>
        </w:rPr>
        <w:t xml:space="preserve"> th</w:t>
      </w:r>
      <w:r w:rsidR="00800501">
        <w:rPr>
          <w:rFonts w:cstheme="minorHAnsi"/>
          <w:sz w:val="22"/>
          <w:szCs w:val="22"/>
        </w:rPr>
        <w:t>e</w:t>
      </w:r>
      <w:r w:rsidRPr="00DC01CC">
        <w:rPr>
          <w:rFonts w:cstheme="minorHAnsi"/>
          <w:sz w:val="22"/>
          <w:szCs w:val="22"/>
        </w:rPr>
        <w:t xml:space="preserve"> opportunity to comment on the Centers for Medicare &amp; Medicaid Services (CMS) Advance Notice of Methodological Changes for </w:t>
      </w:r>
      <w:r w:rsidR="00540096">
        <w:rPr>
          <w:rFonts w:cstheme="minorHAnsi"/>
          <w:sz w:val="22"/>
          <w:szCs w:val="22"/>
        </w:rPr>
        <w:t xml:space="preserve">CY </w:t>
      </w:r>
      <w:r w:rsidRPr="00DC01CC">
        <w:rPr>
          <w:rFonts w:cstheme="minorHAnsi"/>
          <w:sz w:val="22"/>
          <w:szCs w:val="22"/>
        </w:rPr>
        <w:t xml:space="preserve">2024 </w:t>
      </w:r>
      <w:r w:rsidR="00540096">
        <w:rPr>
          <w:rFonts w:cstheme="minorHAnsi"/>
          <w:sz w:val="22"/>
          <w:szCs w:val="22"/>
        </w:rPr>
        <w:t xml:space="preserve">MA </w:t>
      </w:r>
      <w:r w:rsidRPr="00DC01CC">
        <w:rPr>
          <w:rFonts w:cstheme="minorHAnsi"/>
          <w:sz w:val="22"/>
          <w:szCs w:val="22"/>
        </w:rPr>
        <w:t>Capitation Rates and Part C and Part D Payment Policies</w:t>
      </w:r>
      <w:r w:rsidRPr="00DC01CC">
        <w:rPr>
          <w:rFonts w:eastAsia="Times New Roman" w:cstheme="minorHAnsi"/>
          <w:sz w:val="22"/>
          <w:szCs w:val="22"/>
        </w:rPr>
        <w:t>.</w:t>
      </w:r>
      <w:r w:rsidRPr="00DC01CC">
        <w:rPr>
          <w:rFonts w:cstheme="minorHAnsi"/>
          <w:sz w:val="22"/>
          <w:szCs w:val="22"/>
        </w:rPr>
        <w:t xml:space="preserve"> </w:t>
      </w:r>
      <w:r w:rsidRPr="00DC01CC">
        <w:rPr>
          <w:rFonts w:cstheme="minorHAnsi"/>
          <w:sz w:val="22"/>
          <w:szCs w:val="22"/>
          <w:highlight w:val="yellow"/>
        </w:rPr>
        <w:t>[Description of organization</w:t>
      </w:r>
      <w:r w:rsidRPr="00DC01CC">
        <w:rPr>
          <w:rFonts w:cstheme="minorHAnsi"/>
          <w:sz w:val="22"/>
          <w:szCs w:val="22"/>
        </w:rPr>
        <w:t xml:space="preserve">] </w:t>
      </w:r>
    </w:p>
    <w:p w14:paraId="79A17850" w14:textId="31DC6A76" w:rsidR="00D35CB0" w:rsidRPr="00573435" w:rsidRDefault="00E051D7" w:rsidP="6D8B429A">
      <w:pPr>
        <w:spacing w:after="240" w:line="276" w:lineRule="auto"/>
        <w:rPr>
          <w:sz w:val="22"/>
          <w:szCs w:val="22"/>
        </w:rPr>
      </w:pPr>
      <w:r w:rsidRPr="6D8B429A">
        <w:rPr>
          <w:sz w:val="22"/>
          <w:szCs w:val="22"/>
        </w:rPr>
        <w:t xml:space="preserve">We </w:t>
      </w:r>
      <w:r w:rsidR="00D35CB0" w:rsidRPr="6D8B429A">
        <w:rPr>
          <w:sz w:val="22"/>
          <w:szCs w:val="22"/>
        </w:rPr>
        <w:t xml:space="preserve">strongly support the proposals in the Advance Notice (AN) that would improve MA payment accuracy and urge CMS to build upon these modest but important reforms to </w:t>
      </w:r>
      <w:bookmarkStart w:id="0" w:name="_Int_cQ8wsoBb"/>
      <w:r w:rsidR="00D35CB0" w:rsidRPr="6D8B429A">
        <w:rPr>
          <w:sz w:val="22"/>
          <w:szCs w:val="22"/>
        </w:rPr>
        <w:t>more fully correct the decades-long problem of MA overpayments</w:t>
      </w:r>
      <w:bookmarkEnd w:id="0"/>
      <w:r w:rsidR="00D35CB0" w:rsidRPr="6D8B429A">
        <w:rPr>
          <w:sz w:val="22"/>
          <w:szCs w:val="22"/>
        </w:rPr>
        <w:t xml:space="preserve">. </w:t>
      </w:r>
    </w:p>
    <w:p w14:paraId="4206D202" w14:textId="6B0AD14A" w:rsidR="00D35CB0" w:rsidRPr="00573435" w:rsidRDefault="00166675" w:rsidP="6D8B429A">
      <w:pPr>
        <w:spacing w:after="240" w:line="276" w:lineRule="auto"/>
        <w:rPr>
          <w:sz w:val="22"/>
          <w:szCs w:val="22"/>
        </w:rPr>
      </w:pPr>
      <w:r w:rsidRPr="483A3B8B">
        <w:rPr>
          <w:sz w:val="22"/>
          <w:szCs w:val="22"/>
        </w:rPr>
        <w:t>Independent researchers and advisors have consistently found that o</w:t>
      </w:r>
      <w:r w:rsidR="009C6556" w:rsidRPr="483A3B8B">
        <w:rPr>
          <w:sz w:val="22"/>
          <w:szCs w:val="22"/>
        </w:rPr>
        <w:t>verpayments to private</w:t>
      </w:r>
      <w:r w:rsidRPr="483A3B8B">
        <w:rPr>
          <w:sz w:val="22"/>
          <w:szCs w:val="22"/>
        </w:rPr>
        <w:t xml:space="preserve"> MA </w:t>
      </w:r>
      <w:r w:rsidR="009C6556" w:rsidRPr="483A3B8B">
        <w:rPr>
          <w:sz w:val="22"/>
          <w:szCs w:val="22"/>
        </w:rPr>
        <w:t>pla</w:t>
      </w:r>
      <w:r w:rsidR="0041340E" w:rsidRPr="483A3B8B">
        <w:rPr>
          <w:sz w:val="22"/>
          <w:szCs w:val="22"/>
        </w:rPr>
        <w:t>ns a</w:t>
      </w:r>
      <w:r w:rsidR="009C6556" w:rsidRPr="483A3B8B">
        <w:rPr>
          <w:sz w:val="22"/>
          <w:szCs w:val="22"/>
        </w:rPr>
        <w:t>re negatively impacting Medicare’s finances and long-term sustainability, as well as driving up beneficiary premiums and taxpayer costs.</w:t>
      </w:r>
      <w:r w:rsidR="009C6556" w:rsidRPr="483A3B8B">
        <w:rPr>
          <w:sz w:val="22"/>
          <w:szCs w:val="22"/>
          <w:vertAlign w:val="superscript"/>
        </w:rPr>
        <w:footnoteReference w:id="2"/>
      </w:r>
      <w:r w:rsidR="009C6556" w:rsidRPr="1C3EB924">
        <w:rPr>
          <w:sz w:val="22"/>
          <w:szCs w:val="22"/>
          <w:vertAlign w:val="superscript"/>
        </w:rPr>
        <w:t xml:space="preserve"> </w:t>
      </w:r>
      <w:r w:rsidR="00D35CB0" w:rsidRPr="002F2626">
        <w:rPr>
          <w:sz w:val="22"/>
          <w:szCs w:val="22"/>
        </w:rPr>
        <w:t xml:space="preserve">The </w:t>
      </w:r>
      <w:r w:rsidR="00D35CB0">
        <w:rPr>
          <w:sz w:val="22"/>
          <w:szCs w:val="22"/>
        </w:rPr>
        <w:t xml:space="preserve">AN </w:t>
      </w:r>
      <w:r w:rsidR="00D35CB0" w:rsidRPr="002F2626">
        <w:rPr>
          <w:sz w:val="22"/>
          <w:szCs w:val="22"/>
        </w:rPr>
        <w:t xml:space="preserve">is </w:t>
      </w:r>
      <w:bookmarkStart w:id="1" w:name="_Int_kJw4rgUt"/>
      <w:r w:rsidR="00D35CB0" w:rsidRPr="002F2626">
        <w:rPr>
          <w:sz w:val="22"/>
          <w:szCs w:val="22"/>
        </w:rPr>
        <w:t>largely responsive</w:t>
      </w:r>
      <w:bookmarkEnd w:id="1"/>
      <w:r w:rsidR="00D35CB0" w:rsidRPr="002F2626">
        <w:rPr>
          <w:sz w:val="22"/>
          <w:szCs w:val="22"/>
        </w:rPr>
        <w:t xml:space="preserve"> to </w:t>
      </w:r>
      <w:r w:rsidR="00D35CB0">
        <w:rPr>
          <w:sz w:val="22"/>
          <w:szCs w:val="22"/>
        </w:rPr>
        <w:t xml:space="preserve">these findings, and to </w:t>
      </w:r>
      <w:r w:rsidR="00C37B97">
        <w:rPr>
          <w:sz w:val="22"/>
          <w:szCs w:val="22"/>
        </w:rPr>
        <w:t xml:space="preserve">the concerns </w:t>
      </w:r>
      <w:r w:rsidR="003478BA">
        <w:rPr>
          <w:sz w:val="22"/>
          <w:szCs w:val="22"/>
        </w:rPr>
        <w:t xml:space="preserve">many </w:t>
      </w:r>
      <w:r w:rsidR="00D35CB0" w:rsidRPr="002F2626">
        <w:rPr>
          <w:sz w:val="22"/>
          <w:szCs w:val="22"/>
        </w:rPr>
        <w:t>current and future Medicare beneficiar</w:t>
      </w:r>
      <w:r w:rsidR="00C37B97">
        <w:rPr>
          <w:sz w:val="22"/>
          <w:szCs w:val="22"/>
        </w:rPr>
        <w:t>ies</w:t>
      </w:r>
      <w:r w:rsidR="00DD4B50">
        <w:rPr>
          <w:sz w:val="22"/>
          <w:szCs w:val="22"/>
        </w:rPr>
        <w:t xml:space="preserve"> </w:t>
      </w:r>
      <w:r w:rsidR="003478BA">
        <w:rPr>
          <w:sz w:val="22"/>
          <w:szCs w:val="22"/>
        </w:rPr>
        <w:t xml:space="preserve">have </w:t>
      </w:r>
      <w:r w:rsidR="00DD4B50">
        <w:rPr>
          <w:sz w:val="22"/>
          <w:szCs w:val="22"/>
        </w:rPr>
        <w:t xml:space="preserve">about </w:t>
      </w:r>
      <w:r w:rsidR="00134363">
        <w:rPr>
          <w:sz w:val="22"/>
          <w:szCs w:val="22"/>
        </w:rPr>
        <w:t>pay</w:t>
      </w:r>
      <w:r w:rsidR="00DD4B50">
        <w:rPr>
          <w:sz w:val="22"/>
          <w:szCs w:val="22"/>
        </w:rPr>
        <w:t>ing</w:t>
      </w:r>
      <w:r w:rsidR="00134363">
        <w:rPr>
          <w:sz w:val="22"/>
          <w:szCs w:val="22"/>
        </w:rPr>
        <w:t xml:space="preserve"> for care</w:t>
      </w:r>
      <w:r w:rsidR="00B4302A">
        <w:rPr>
          <w:sz w:val="22"/>
          <w:szCs w:val="22"/>
        </w:rPr>
        <w:t>,</w:t>
      </w:r>
      <w:r w:rsidR="00134363">
        <w:rPr>
          <w:rStyle w:val="FootnoteReference"/>
          <w:sz w:val="22"/>
          <w:szCs w:val="22"/>
        </w:rPr>
        <w:footnoteReference w:id="3"/>
      </w:r>
      <w:r w:rsidR="00134363">
        <w:rPr>
          <w:sz w:val="22"/>
          <w:szCs w:val="22"/>
        </w:rPr>
        <w:t xml:space="preserve"> </w:t>
      </w:r>
      <w:r w:rsidR="00D35CB0" w:rsidRPr="6D8B429A">
        <w:rPr>
          <w:sz w:val="22"/>
          <w:szCs w:val="22"/>
        </w:rPr>
        <w:t>rising Medicare costs</w:t>
      </w:r>
      <w:r w:rsidR="00B4302A" w:rsidRPr="6D8B429A">
        <w:rPr>
          <w:sz w:val="22"/>
          <w:szCs w:val="22"/>
        </w:rPr>
        <w:t>,</w:t>
      </w:r>
      <w:r w:rsidR="00D35CB0" w:rsidRPr="6D8B429A">
        <w:rPr>
          <w:rStyle w:val="FootnoteReference"/>
          <w:sz w:val="22"/>
          <w:szCs w:val="22"/>
        </w:rPr>
        <w:footnoteReference w:id="4"/>
      </w:r>
      <w:r w:rsidR="00D35CB0" w:rsidRPr="6D8B429A">
        <w:rPr>
          <w:sz w:val="22"/>
          <w:szCs w:val="22"/>
        </w:rPr>
        <w:t xml:space="preserve"> </w:t>
      </w:r>
      <w:r w:rsidR="00902164" w:rsidRPr="6D8B429A">
        <w:rPr>
          <w:sz w:val="22"/>
          <w:szCs w:val="22"/>
        </w:rPr>
        <w:t xml:space="preserve">and </w:t>
      </w:r>
      <w:r w:rsidR="00D35CB0" w:rsidRPr="6D8B429A">
        <w:rPr>
          <w:sz w:val="22"/>
          <w:szCs w:val="22"/>
        </w:rPr>
        <w:t>the program’s future</w:t>
      </w:r>
      <w:r w:rsidR="00DE6D16" w:rsidRPr="6D8B429A">
        <w:rPr>
          <w:sz w:val="22"/>
          <w:szCs w:val="22"/>
        </w:rPr>
        <w:t>.</w:t>
      </w:r>
      <w:r w:rsidR="00D35CB0" w:rsidRPr="6D8B429A">
        <w:rPr>
          <w:rStyle w:val="FootnoteReference"/>
          <w:sz w:val="22"/>
          <w:szCs w:val="22"/>
        </w:rPr>
        <w:footnoteReference w:id="5"/>
      </w:r>
    </w:p>
    <w:p w14:paraId="0DAAA6C9" w14:textId="647090F1" w:rsidR="00450D81" w:rsidRPr="00DC01CC" w:rsidRDefault="00450D81" w:rsidP="6D8B429A">
      <w:pPr>
        <w:spacing w:after="240" w:line="276" w:lineRule="auto"/>
        <w:rPr>
          <w:sz w:val="22"/>
          <w:szCs w:val="22"/>
        </w:rPr>
      </w:pPr>
      <w:r w:rsidRPr="6D8B429A">
        <w:rPr>
          <w:sz w:val="22"/>
          <w:szCs w:val="22"/>
        </w:rPr>
        <w:t xml:space="preserve">The amounts inappropriately paid to plans are significant and well documented. </w:t>
      </w:r>
      <w:r w:rsidRPr="00DC01CC">
        <w:rPr>
          <w:sz w:val="22"/>
          <w:szCs w:val="22"/>
        </w:rPr>
        <w:t xml:space="preserve">For example, the Government Accountability Office estimates that in 2013 alone, MA plans received an extra </w:t>
      </w:r>
      <w:bookmarkStart w:id="2" w:name="_Int_og7Z74Nz"/>
      <w:r w:rsidRPr="00DC01CC">
        <w:rPr>
          <w:sz w:val="22"/>
          <w:szCs w:val="22"/>
        </w:rPr>
        <w:t>$14.1 billion</w:t>
      </w:r>
      <w:bookmarkEnd w:id="2"/>
      <w:r w:rsidRPr="00DC01CC">
        <w:rPr>
          <w:sz w:val="22"/>
          <w:szCs w:val="22"/>
        </w:rPr>
        <w:t>,</w:t>
      </w:r>
      <w:r w:rsidRPr="00DC01CC">
        <w:rPr>
          <w:sz w:val="22"/>
          <w:szCs w:val="22"/>
          <w:vertAlign w:val="superscript"/>
        </w:rPr>
        <w:footnoteReference w:id="6"/>
      </w:r>
      <w:r w:rsidRPr="00DC01CC">
        <w:rPr>
          <w:sz w:val="22"/>
          <w:szCs w:val="22"/>
        </w:rPr>
        <w:t xml:space="preserve"> and the Medicare Payment Advisory Committee (MedPAC) has cataloged approximately </w:t>
      </w:r>
      <w:bookmarkStart w:id="3" w:name="_Int_X4TxAYeI"/>
      <w:r w:rsidRPr="00DC01CC">
        <w:rPr>
          <w:sz w:val="22"/>
          <w:szCs w:val="22"/>
        </w:rPr>
        <w:t>$140 billion</w:t>
      </w:r>
      <w:bookmarkEnd w:id="3"/>
      <w:r w:rsidRPr="00DC01CC">
        <w:rPr>
          <w:sz w:val="22"/>
          <w:szCs w:val="22"/>
        </w:rPr>
        <w:t xml:space="preserve"> in MA overpayments over the past 12 years.</w:t>
      </w:r>
      <w:r w:rsidRPr="00DC01CC">
        <w:rPr>
          <w:sz w:val="22"/>
          <w:szCs w:val="22"/>
          <w:vertAlign w:val="superscript"/>
        </w:rPr>
        <w:footnoteReference w:id="7"/>
      </w:r>
      <w:r w:rsidRPr="00DC01CC">
        <w:rPr>
          <w:sz w:val="22"/>
          <w:szCs w:val="22"/>
        </w:rPr>
        <w:t xml:space="preserve"> In 2018, CMS identified an estimated $650 million in </w:t>
      </w:r>
      <w:r w:rsidRPr="00DC01CC">
        <w:rPr>
          <w:sz w:val="22"/>
          <w:szCs w:val="22"/>
        </w:rPr>
        <w:lastRenderedPageBreak/>
        <w:t>overpayments to 90 plans from 2011 through 2013; some analysts calculated overpayments of at least twice that much.</w:t>
      </w:r>
      <w:r w:rsidRPr="00DC01CC">
        <w:rPr>
          <w:sz w:val="22"/>
          <w:szCs w:val="22"/>
          <w:vertAlign w:val="superscript"/>
        </w:rPr>
        <w:footnoteReference w:id="8"/>
      </w:r>
    </w:p>
    <w:p w14:paraId="3F626864" w14:textId="3D317D46" w:rsidR="00E10904" w:rsidRPr="00DC01CC" w:rsidRDefault="00E10904" w:rsidP="00573435">
      <w:pPr>
        <w:spacing w:after="240" w:line="276" w:lineRule="auto"/>
        <w:rPr>
          <w:rFonts w:eastAsia="Calibri" w:cstheme="minorHAnsi"/>
          <w:sz w:val="22"/>
          <w:szCs w:val="22"/>
        </w:rPr>
      </w:pPr>
      <w:r w:rsidRPr="00DC01CC">
        <w:rPr>
          <w:rFonts w:eastAsia="Calibri" w:cstheme="minorHAnsi"/>
          <w:sz w:val="22"/>
          <w:szCs w:val="22"/>
        </w:rPr>
        <w:t xml:space="preserve">This inflation is </w:t>
      </w:r>
      <w:r w:rsidRPr="00DC01CC">
        <w:rPr>
          <w:rFonts w:cstheme="minorHAnsi"/>
          <w:sz w:val="22"/>
          <w:szCs w:val="22"/>
        </w:rPr>
        <w:t xml:space="preserve">the result of several factors, some of which—including </w:t>
      </w:r>
      <w:r w:rsidRPr="00DC01CC">
        <w:rPr>
          <w:rFonts w:eastAsia="Calibri" w:cstheme="minorHAnsi"/>
          <w:sz w:val="22"/>
          <w:szCs w:val="22"/>
        </w:rPr>
        <w:t xml:space="preserve">the MA risk adjustment model and coding intensity—are addressed in the AN. Others—such as </w:t>
      </w:r>
      <w:r w:rsidR="6CDECD75" w:rsidRPr="00DC01CC">
        <w:rPr>
          <w:rFonts w:eastAsia="Calibri" w:cstheme="minorHAnsi"/>
          <w:sz w:val="22"/>
          <w:szCs w:val="22"/>
        </w:rPr>
        <w:t>soaring</w:t>
      </w:r>
      <w:r w:rsidRPr="00DC01CC">
        <w:rPr>
          <w:rFonts w:eastAsia="Calibri" w:cstheme="minorHAnsi"/>
          <w:sz w:val="22"/>
          <w:szCs w:val="22"/>
        </w:rPr>
        <w:t xml:space="preserve"> rebate payments</w:t>
      </w:r>
      <w:r w:rsidR="6E7A9DD6" w:rsidRPr="00DC01CC">
        <w:rPr>
          <w:rFonts w:eastAsia="Calibri" w:cstheme="minorHAnsi"/>
          <w:sz w:val="22"/>
          <w:szCs w:val="22"/>
        </w:rPr>
        <w:t xml:space="preserve"> that help finance benefits not available in Original Medicare</w:t>
      </w:r>
      <w:r w:rsidR="00380E85" w:rsidRPr="00DC01CC">
        <w:rPr>
          <w:rFonts w:eastAsia="Calibri" w:cstheme="minorHAnsi"/>
          <w:sz w:val="22"/>
          <w:szCs w:val="22"/>
        </w:rPr>
        <w:t xml:space="preserve"> </w:t>
      </w:r>
      <w:r w:rsidRPr="00DC01CC">
        <w:rPr>
          <w:rFonts w:eastAsia="Calibri" w:cstheme="minorHAnsi"/>
          <w:sz w:val="22"/>
          <w:szCs w:val="22"/>
        </w:rPr>
        <w:t>and egregious upcoding that allows plans to benefit from paper-only diagnoses without providing care—require policymaking that is beyond the scope of this AN but</w:t>
      </w:r>
      <w:r w:rsidR="009B6149" w:rsidRPr="00DC01CC">
        <w:rPr>
          <w:rFonts w:eastAsia="Calibri" w:cstheme="minorHAnsi"/>
          <w:sz w:val="22"/>
          <w:szCs w:val="22"/>
        </w:rPr>
        <w:t xml:space="preserve"> </w:t>
      </w:r>
      <w:r w:rsidRPr="00DC01CC">
        <w:rPr>
          <w:rFonts w:eastAsia="Calibri" w:cstheme="minorHAnsi"/>
          <w:sz w:val="22"/>
          <w:szCs w:val="22"/>
        </w:rPr>
        <w:t>no less urgent.</w:t>
      </w:r>
    </w:p>
    <w:p w14:paraId="3091A4AD" w14:textId="0E9958B7" w:rsidR="00424C77" w:rsidRPr="00DC01CC" w:rsidRDefault="23906078" w:rsidP="00573435">
      <w:pPr>
        <w:spacing w:after="240" w:line="276" w:lineRule="auto"/>
        <w:rPr>
          <w:rFonts w:eastAsia="Calibri" w:cstheme="minorHAnsi"/>
          <w:sz w:val="22"/>
          <w:szCs w:val="22"/>
        </w:rPr>
      </w:pPr>
      <w:r w:rsidRPr="00DC01CC">
        <w:rPr>
          <w:rFonts w:eastAsia="Calibri" w:cstheme="minorHAnsi"/>
          <w:sz w:val="22"/>
          <w:szCs w:val="22"/>
        </w:rPr>
        <w:t xml:space="preserve">Swift and </w:t>
      </w:r>
      <w:r w:rsidR="21CA7294" w:rsidRPr="00DC01CC">
        <w:rPr>
          <w:rFonts w:eastAsia="Calibri" w:cstheme="minorHAnsi"/>
          <w:sz w:val="22"/>
          <w:szCs w:val="22"/>
        </w:rPr>
        <w:t>comprehensive</w:t>
      </w:r>
      <w:r w:rsidR="00E10904" w:rsidRPr="00DC01CC">
        <w:rPr>
          <w:rFonts w:eastAsia="Calibri" w:cstheme="minorHAnsi"/>
          <w:sz w:val="22"/>
          <w:szCs w:val="22"/>
        </w:rPr>
        <w:t xml:space="preserve"> reforms are needed</w:t>
      </w:r>
      <w:r w:rsidR="00114F46" w:rsidRPr="00DC01CC">
        <w:rPr>
          <w:rFonts w:eastAsia="Calibri" w:cstheme="minorHAnsi"/>
          <w:sz w:val="22"/>
          <w:szCs w:val="22"/>
        </w:rPr>
        <w:t xml:space="preserve"> </w:t>
      </w:r>
      <w:r w:rsidR="0B281918" w:rsidRPr="00DC01CC">
        <w:rPr>
          <w:rFonts w:eastAsia="Calibri" w:cstheme="minorHAnsi"/>
          <w:sz w:val="22"/>
          <w:szCs w:val="22"/>
        </w:rPr>
        <w:t xml:space="preserve">because </w:t>
      </w:r>
      <w:r w:rsidR="007A5D90" w:rsidRPr="00DC01CC">
        <w:rPr>
          <w:rFonts w:eastAsia="Calibri" w:cstheme="minorHAnsi"/>
          <w:sz w:val="22"/>
          <w:szCs w:val="22"/>
        </w:rPr>
        <w:t xml:space="preserve">MA </w:t>
      </w:r>
      <w:r w:rsidR="00E10904" w:rsidRPr="00DC01CC">
        <w:rPr>
          <w:rFonts w:eastAsia="Calibri" w:cstheme="minorHAnsi"/>
          <w:sz w:val="22"/>
          <w:szCs w:val="22"/>
        </w:rPr>
        <w:t>cost</w:t>
      </w:r>
      <w:r w:rsidR="007A5D90" w:rsidRPr="00DC01CC">
        <w:rPr>
          <w:rFonts w:eastAsia="Calibri" w:cstheme="minorHAnsi"/>
          <w:sz w:val="22"/>
          <w:szCs w:val="22"/>
        </w:rPr>
        <w:t>s</w:t>
      </w:r>
      <w:r w:rsidR="00E10904" w:rsidRPr="00DC01CC">
        <w:rPr>
          <w:rFonts w:eastAsia="Calibri" w:cstheme="minorHAnsi"/>
          <w:sz w:val="22"/>
          <w:szCs w:val="22"/>
        </w:rPr>
        <w:t xml:space="preserve"> will </w:t>
      </w:r>
      <w:r w:rsidR="00AD4AA3">
        <w:rPr>
          <w:rFonts w:eastAsia="Calibri" w:cstheme="minorHAnsi"/>
          <w:sz w:val="22"/>
          <w:szCs w:val="22"/>
        </w:rPr>
        <w:t>escalate</w:t>
      </w:r>
      <w:r w:rsidR="00E10904" w:rsidRPr="00DC01CC">
        <w:rPr>
          <w:rFonts w:eastAsia="Calibri" w:cstheme="minorHAnsi"/>
          <w:sz w:val="22"/>
          <w:szCs w:val="22"/>
        </w:rPr>
        <w:t xml:space="preserve"> as plan and enrollment numbers do. Re</w:t>
      </w:r>
      <w:r w:rsidR="00800501">
        <w:rPr>
          <w:rFonts w:eastAsia="Calibri" w:cstheme="minorHAnsi"/>
          <w:sz w:val="22"/>
          <w:szCs w:val="22"/>
        </w:rPr>
        <w:t>laxed regulation</w:t>
      </w:r>
      <w:r w:rsidR="00E10904" w:rsidRPr="00DC01CC">
        <w:rPr>
          <w:rFonts w:eastAsia="Calibri" w:cstheme="minorHAnsi"/>
          <w:sz w:val="22"/>
          <w:szCs w:val="22"/>
        </w:rPr>
        <w:t>s</w:t>
      </w:r>
      <w:r w:rsidR="00E10904" w:rsidRPr="00DC01CC">
        <w:rPr>
          <w:rStyle w:val="FootnoteReference"/>
          <w:rFonts w:eastAsia="Calibri" w:cstheme="minorHAnsi"/>
          <w:sz w:val="22"/>
          <w:szCs w:val="22"/>
        </w:rPr>
        <w:footnoteReference w:id="9"/>
      </w:r>
      <w:r w:rsidR="00E10904" w:rsidRPr="00DC01CC">
        <w:rPr>
          <w:rFonts w:eastAsia="Calibri" w:cstheme="minorHAnsi"/>
          <w:sz w:val="22"/>
          <w:szCs w:val="22"/>
        </w:rPr>
        <w:t xml:space="preserve"> </w:t>
      </w:r>
      <w:r w:rsidR="00B7705D" w:rsidRPr="00DC01CC">
        <w:rPr>
          <w:rFonts w:eastAsia="Calibri" w:cstheme="minorHAnsi"/>
          <w:sz w:val="22"/>
          <w:szCs w:val="22"/>
        </w:rPr>
        <w:t xml:space="preserve">and </w:t>
      </w:r>
      <w:r w:rsidR="00E10904" w:rsidRPr="00DC01CC">
        <w:rPr>
          <w:rFonts w:eastAsia="Calibri" w:cstheme="minorHAnsi"/>
          <w:sz w:val="22"/>
          <w:szCs w:val="22"/>
        </w:rPr>
        <w:t>burgeoning profits</w:t>
      </w:r>
      <w:r w:rsidR="00E10904" w:rsidRPr="00DC01CC">
        <w:rPr>
          <w:rStyle w:val="FootnoteReference"/>
          <w:rFonts w:eastAsia="Calibri" w:cstheme="minorHAnsi"/>
          <w:sz w:val="22"/>
          <w:szCs w:val="22"/>
        </w:rPr>
        <w:footnoteReference w:id="10"/>
      </w:r>
      <w:r w:rsidR="00E10904" w:rsidRPr="00DC01CC">
        <w:rPr>
          <w:rFonts w:eastAsia="Calibri" w:cstheme="minorHAnsi"/>
          <w:sz w:val="22"/>
          <w:szCs w:val="22"/>
        </w:rPr>
        <w:t xml:space="preserve"> have led to </w:t>
      </w:r>
      <w:r w:rsidR="00AA4349" w:rsidRPr="00DC01CC">
        <w:rPr>
          <w:rFonts w:eastAsia="Calibri" w:cstheme="minorHAnsi"/>
          <w:sz w:val="22"/>
          <w:szCs w:val="22"/>
        </w:rPr>
        <w:t>a</w:t>
      </w:r>
      <w:r w:rsidR="00552617" w:rsidRPr="00DC01CC">
        <w:rPr>
          <w:rFonts w:eastAsia="Calibri" w:cstheme="minorHAnsi"/>
          <w:sz w:val="22"/>
          <w:szCs w:val="22"/>
        </w:rPr>
        <w:t>n</w:t>
      </w:r>
      <w:r w:rsidR="00DD3F5F" w:rsidRPr="00DC01CC">
        <w:rPr>
          <w:rFonts w:eastAsia="Calibri" w:cstheme="minorHAnsi"/>
          <w:sz w:val="22"/>
          <w:szCs w:val="22"/>
        </w:rPr>
        <w:t xml:space="preserve"> </w:t>
      </w:r>
      <w:r w:rsidR="003E3BBF" w:rsidRPr="00DC01CC">
        <w:rPr>
          <w:rFonts w:eastAsia="Calibri" w:cstheme="minorHAnsi"/>
          <w:sz w:val="22"/>
          <w:szCs w:val="22"/>
        </w:rPr>
        <w:t>un</w:t>
      </w:r>
      <w:r w:rsidR="004075AB">
        <w:rPr>
          <w:rFonts w:eastAsia="Calibri" w:cstheme="minorHAnsi"/>
          <w:sz w:val="22"/>
          <w:szCs w:val="22"/>
        </w:rPr>
        <w:t>duly</w:t>
      </w:r>
      <w:r w:rsidR="00552617" w:rsidRPr="00DC01CC">
        <w:rPr>
          <w:rFonts w:eastAsia="Calibri" w:cstheme="minorHAnsi"/>
          <w:sz w:val="22"/>
          <w:szCs w:val="22"/>
        </w:rPr>
        <w:t xml:space="preserve"> cluttered</w:t>
      </w:r>
      <w:r w:rsidR="00AA4349" w:rsidRPr="00DC01CC">
        <w:rPr>
          <w:rFonts w:eastAsia="Calibri" w:cstheme="minorHAnsi"/>
          <w:sz w:val="22"/>
          <w:szCs w:val="22"/>
        </w:rPr>
        <w:t xml:space="preserve"> MA </w:t>
      </w:r>
      <w:r w:rsidR="00552617" w:rsidRPr="00DC01CC">
        <w:rPr>
          <w:rFonts w:eastAsia="Calibri" w:cstheme="minorHAnsi"/>
          <w:sz w:val="22"/>
          <w:szCs w:val="22"/>
        </w:rPr>
        <w:t>marketplace</w:t>
      </w:r>
      <w:r w:rsidR="00E10904" w:rsidRPr="00DC01CC">
        <w:rPr>
          <w:rFonts w:eastAsia="Calibri" w:cstheme="minorHAnsi"/>
          <w:sz w:val="22"/>
          <w:szCs w:val="22"/>
        </w:rPr>
        <w:t>. In 202</w:t>
      </w:r>
      <w:r w:rsidR="00AE281D" w:rsidRPr="00DC01CC">
        <w:rPr>
          <w:rFonts w:eastAsia="Calibri" w:cstheme="minorHAnsi"/>
          <w:sz w:val="22"/>
          <w:szCs w:val="22"/>
        </w:rPr>
        <w:t>3</w:t>
      </w:r>
      <w:r w:rsidR="00E10904" w:rsidRPr="00DC01CC">
        <w:rPr>
          <w:rFonts w:eastAsia="Calibri" w:cstheme="minorHAnsi"/>
          <w:sz w:val="22"/>
          <w:szCs w:val="22"/>
        </w:rPr>
        <w:t xml:space="preserve">, beneficiaries had access to </w:t>
      </w:r>
      <w:r w:rsidR="5BCEAF45" w:rsidRPr="00DC01CC">
        <w:rPr>
          <w:rFonts w:eastAsia="Calibri" w:cstheme="minorHAnsi"/>
          <w:sz w:val="22"/>
          <w:szCs w:val="22"/>
        </w:rPr>
        <w:t>an average of</w:t>
      </w:r>
      <w:r w:rsidR="00E10904" w:rsidRPr="00DC01CC">
        <w:rPr>
          <w:rFonts w:eastAsia="Calibri" w:cstheme="minorHAnsi"/>
          <w:sz w:val="22"/>
          <w:szCs w:val="22"/>
        </w:rPr>
        <w:t xml:space="preserve"> </w:t>
      </w:r>
      <w:r w:rsidR="00AE281D" w:rsidRPr="00DC01CC">
        <w:rPr>
          <w:rFonts w:eastAsia="Calibri" w:cstheme="minorHAnsi"/>
          <w:sz w:val="22"/>
          <w:szCs w:val="22"/>
        </w:rPr>
        <w:t>43</w:t>
      </w:r>
      <w:r w:rsidR="00E10904" w:rsidRPr="00DC01CC">
        <w:rPr>
          <w:rFonts w:eastAsia="Calibri" w:cstheme="minorHAnsi"/>
          <w:sz w:val="22"/>
          <w:szCs w:val="22"/>
        </w:rPr>
        <w:t xml:space="preserve"> MA plans, </w:t>
      </w:r>
      <w:r w:rsidR="003E3BBF" w:rsidRPr="00DC01CC">
        <w:rPr>
          <w:rFonts w:eastAsia="Calibri" w:cstheme="minorHAnsi"/>
          <w:sz w:val="22"/>
          <w:szCs w:val="22"/>
        </w:rPr>
        <w:t xml:space="preserve">over </w:t>
      </w:r>
      <w:r w:rsidR="00552617" w:rsidRPr="00DC01CC">
        <w:rPr>
          <w:rFonts w:eastAsia="Calibri" w:cstheme="minorHAnsi"/>
          <w:sz w:val="22"/>
          <w:szCs w:val="22"/>
        </w:rPr>
        <w:t>twice as many</w:t>
      </w:r>
      <w:r w:rsidR="00170DB2" w:rsidRPr="00DC01CC">
        <w:rPr>
          <w:rFonts w:eastAsia="Calibri" w:cstheme="minorHAnsi"/>
          <w:sz w:val="22"/>
          <w:szCs w:val="22"/>
        </w:rPr>
        <w:t xml:space="preserve"> </w:t>
      </w:r>
      <w:r w:rsidR="00552617" w:rsidRPr="00DC01CC">
        <w:rPr>
          <w:rFonts w:eastAsia="Calibri" w:cstheme="minorHAnsi"/>
          <w:sz w:val="22"/>
          <w:szCs w:val="22"/>
        </w:rPr>
        <w:t xml:space="preserve">as </w:t>
      </w:r>
      <w:r w:rsidR="00E10904" w:rsidRPr="00DC01CC">
        <w:rPr>
          <w:rFonts w:eastAsia="Calibri" w:cstheme="minorHAnsi"/>
          <w:sz w:val="22"/>
          <w:szCs w:val="22"/>
        </w:rPr>
        <w:t>in</w:t>
      </w:r>
      <w:r w:rsidR="00424C77" w:rsidRPr="00DC01CC">
        <w:rPr>
          <w:rFonts w:cstheme="minorHAnsi"/>
          <w:sz w:val="22"/>
          <w:szCs w:val="22"/>
        </w:rPr>
        <w:t xml:space="preserve"> </w:t>
      </w:r>
      <w:r w:rsidR="00424C77" w:rsidRPr="00DC01CC">
        <w:rPr>
          <w:rFonts w:eastAsia="Calibri" w:cstheme="minorHAnsi"/>
          <w:sz w:val="22"/>
          <w:szCs w:val="22"/>
        </w:rPr>
        <w:t>201</w:t>
      </w:r>
      <w:r w:rsidR="00CB15D6" w:rsidRPr="00DC01CC">
        <w:rPr>
          <w:rFonts w:eastAsia="Calibri" w:cstheme="minorHAnsi"/>
          <w:sz w:val="22"/>
          <w:szCs w:val="22"/>
        </w:rPr>
        <w:t>8</w:t>
      </w:r>
      <w:r w:rsidR="00424C77" w:rsidRPr="00DC01CC">
        <w:rPr>
          <w:rFonts w:eastAsia="Calibri" w:cstheme="minorHAnsi"/>
          <w:sz w:val="22"/>
          <w:szCs w:val="22"/>
        </w:rPr>
        <w:t>.</w:t>
      </w:r>
      <w:r w:rsidR="00424C77" w:rsidRPr="00DC01CC">
        <w:rPr>
          <w:rStyle w:val="FootnoteReference"/>
          <w:rFonts w:eastAsia="Calibri" w:cstheme="minorHAnsi"/>
          <w:sz w:val="22"/>
          <w:szCs w:val="22"/>
        </w:rPr>
        <w:footnoteReference w:id="11"/>
      </w:r>
      <w:r w:rsidR="00424C77" w:rsidRPr="00DC01CC">
        <w:rPr>
          <w:rFonts w:eastAsia="Calibri" w:cstheme="minorHAnsi"/>
          <w:sz w:val="22"/>
          <w:szCs w:val="22"/>
        </w:rPr>
        <w:t xml:space="preserve"> MA enrollment has also surged, more than doubling </w:t>
      </w:r>
      <w:r w:rsidR="004075AB">
        <w:rPr>
          <w:rFonts w:eastAsia="Calibri" w:cstheme="minorHAnsi"/>
          <w:sz w:val="22"/>
          <w:szCs w:val="22"/>
        </w:rPr>
        <w:t xml:space="preserve">in </w:t>
      </w:r>
      <w:r w:rsidR="00424C77" w:rsidRPr="00DC01CC">
        <w:rPr>
          <w:rFonts w:eastAsia="Calibri" w:cstheme="minorHAnsi"/>
          <w:sz w:val="22"/>
          <w:szCs w:val="22"/>
        </w:rPr>
        <w:t>the last decade.</w:t>
      </w:r>
      <w:r w:rsidR="00424C77" w:rsidRPr="00DC01CC">
        <w:rPr>
          <w:rStyle w:val="FootnoteReference"/>
          <w:rFonts w:eastAsia="Calibri" w:cstheme="minorHAnsi"/>
          <w:sz w:val="22"/>
          <w:szCs w:val="22"/>
        </w:rPr>
        <w:footnoteReference w:id="12"/>
      </w:r>
      <w:r w:rsidR="00424C77" w:rsidRPr="00DC01CC">
        <w:rPr>
          <w:rFonts w:eastAsia="Calibri" w:cstheme="minorHAnsi"/>
          <w:sz w:val="22"/>
          <w:szCs w:val="22"/>
        </w:rPr>
        <w:t xml:space="preserve"> Th</w:t>
      </w:r>
      <w:r w:rsidR="00B54C6C" w:rsidRPr="00DC01CC">
        <w:rPr>
          <w:rFonts w:eastAsia="Calibri" w:cstheme="minorHAnsi"/>
          <w:sz w:val="22"/>
          <w:szCs w:val="22"/>
        </w:rPr>
        <w:t xml:space="preserve">e </w:t>
      </w:r>
      <w:r w:rsidR="00424C77" w:rsidRPr="00DC01CC">
        <w:rPr>
          <w:rFonts w:eastAsia="Calibri" w:cstheme="minorHAnsi"/>
          <w:sz w:val="22"/>
          <w:szCs w:val="22"/>
        </w:rPr>
        <w:t>Congressional Budget Office (CBO) projects the share of beneficiaries enrolled in MA, now 48%, will hit 61% by 203</w:t>
      </w:r>
      <w:r w:rsidR="00FD4DD4" w:rsidRPr="00DC01CC">
        <w:rPr>
          <w:rFonts w:eastAsia="Calibri" w:cstheme="minorHAnsi"/>
          <w:sz w:val="22"/>
          <w:szCs w:val="22"/>
        </w:rPr>
        <w:t>1</w:t>
      </w:r>
      <w:r w:rsidR="00424C77" w:rsidRPr="00DC01CC">
        <w:rPr>
          <w:rFonts w:eastAsia="Calibri" w:cstheme="minorHAnsi"/>
          <w:sz w:val="22"/>
          <w:szCs w:val="22"/>
        </w:rPr>
        <w:t>.</w:t>
      </w:r>
      <w:r w:rsidR="00424C77" w:rsidRPr="00DC01CC">
        <w:rPr>
          <w:rFonts w:eastAsia="Calibri" w:cstheme="minorHAnsi"/>
          <w:sz w:val="22"/>
          <w:szCs w:val="22"/>
          <w:vertAlign w:val="superscript"/>
        </w:rPr>
        <w:footnoteReference w:id="13"/>
      </w:r>
      <w:r w:rsidR="00424C77" w:rsidRPr="00DC01CC">
        <w:rPr>
          <w:rFonts w:eastAsia="Calibri" w:cstheme="minorHAnsi"/>
          <w:sz w:val="22"/>
          <w:szCs w:val="22"/>
        </w:rPr>
        <w:t xml:space="preserve"> </w:t>
      </w:r>
    </w:p>
    <w:p w14:paraId="198AEBFB" w14:textId="275EE7D7" w:rsidR="000807A9" w:rsidRPr="00DC01CC" w:rsidRDefault="00424C77" w:rsidP="00573435">
      <w:pPr>
        <w:spacing w:after="240" w:line="276" w:lineRule="auto"/>
        <w:rPr>
          <w:rFonts w:eastAsia="Calibri" w:cstheme="minorHAnsi"/>
          <w:sz w:val="22"/>
          <w:szCs w:val="22"/>
        </w:rPr>
      </w:pPr>
      <w:r w:rsidRPr="6D8B429A">
        <w:rPr>
          <w:rFonts w:eastAsia="Calibri"/>
          <w:sz w:val="22"/>
          <w:szCs w:val="22"/>
        </w:rPr>
        <w:t>Payments to MA plans are also</w:t>
      </w:r>
      <w:r w:rsidR="004075AB" w:rsidRPr="6D8B429A">
        <w:rPr>
          <w:rFonts w:eastAsia="Calibri"/>
          <w:sz w:val="22"/>
          <w:szCs w:val="22"/>
        </w:rPr>
        <w:t xml:space="preserve"> climbing</w:t>
      </w:r>
      <w:r w:rsidRPr="6D8B429A">
        <w:rPr>
          <w:rFonts w:eastAsia="Calibri"/>
          <w:sz w:val="22"/>
          <w:szCs w:val="22"/>
        </w:rPr>
        <w:t>. As a portion of total Medicare</w:t>
      </w:r>
      <w:r w:rsidR="00DD6DBD" w:rsidRPr="6D8B429A">
        <w:rPr>
          <w:rFonts w:eastAsia="Calibri"/>
          <w:sz w:val="22"/>
          <w:szCs w:val="22"/>
        </w:rPr>
        <w:t xml:space="preserve"> dollars</w:t>
      </w:r>
      <w:r w:rsidRPr="6D8B429A">
        <w:rPr>
          <w:rFonts w:eastAsia="Calibri"/>
          <w:sz w:val="22"/>
          <w:szCs w:val="22"/>
        </w:rPr>
        <w:t>, they increased from 26% in 2010 to 45% in 2020</w:t>
      </w:r>
      <w:r w:rsidR="008D35F8" w:rsidRPr="6D8B429A">
        <w:rPr>
          <w:rFonts w:eastAsia="Calibri"/>
          <w:sz w:val="22"/>
          <w:szCs w:val="22"/>
        </w:rPr>
        <w:t>—</w:t>
      </w:r>
      <w:r w:rsidRPr="6D8B429A">
        <w:rPr>
          <w:rFonts w:eastAsia="Calibri"/>
          <w:sz w:val="22"/>
          <w:szCs w:val="22"/>
        </w:rPr>
        <w:t>and may reach 54% by 2030.</w:t>
      </w:r>
      <w:r w:rsidRPr="6D8B429A">
        <w:rPr>
          <w:rStyle w:val="FootnoteReference"/>
          <w:rFonts w:eastAsia="Calibri"/>
          <w:sz w:val="22"/>
          <w:szCs w:val="22"/>
        </w:rPr>
        <w:footnoteReference w:id="14"/>
      </w:r>
      <w:r w:rsidRPr="6D8B429A">
        <w:rPr>
          <w:rFonts w:eastAsia="Calibri"/>
          <w:sz w:val="22"/>
          <w:szCs w:val="22"/>
        </w:rPr>
        <w:t xml:space="preserve"> </w:t>
      </w:r>
      <w:r w:rsidR="003F75C5" w:rsidRPr="6D8B429A">
        <w:rPr>
          <w:rFonts w:eastAsia="Calibri"/>
          <w:sz w:val="22"/>
          <w:szCs w:val="22"/>
        </w:rPr>
        <w:t xml:space="preserve">Per person, </w:t>
      </w:r>
      <w:r w:rsidRPr="6D8B429A">
        <w:rPr>
          <w:rFonts w:eastAsia="Calibri"/>
          <w:sz w:val="22"/>
          <w:szCs w:val="22"/>
        </w:rPr>
        <w:t xml:space="preserve">Medicare spending is </w:t>
      </w:r>
      <w:r w:rsidRPr="6D8B429A">
        <w:rPr>
          <w:sz w:val="22"/>
          <w:szCs w:val="22"/>
        </w:rPr>
        <w:t>higher</w:t>
      </w:r>
      <w:r w:rsidRPr="6D8B429A">
        <w:rPr>
          <w:rFonts w:eastAsia="Calibri"/>
          <w:sz w:val="22"/>
          <w:szCs w:val="22"/>
        </w:rPr>
        <w:t> and </w:t>
      </w:r>
      <w:r w:rsidRPr="6D8B429A">
        <w:rPr>
          <w:sz w:val="22"/>
          <w:szCs w:val="22"/>
        </w:rPr>
        <w:t>growing</w:t>
      </w:r>
      <w:r w:rsidRPr="6D8B429A">
        <w:rPr>
          <w:rFonts w:eastAsia="Calibri"/>
          <w:sz w:val="22"/>
          <w:szCs w:val="22"/>
        </w:rPr>
        <w:t xml:space="preserve"> faster for </w:t>
      </w:r>
      <w:r w:rsidR="00A15A93" w:rsidRPr="6D8B429A">
        <w:rPr>
          <w:rFonts w:eastAsia="Calibri"/>
          <w:sz w:val="22"/>
          <w:szCs w:val="22"/>
        </w:rPr>
        <w:t xml:space="preserve">MA </w:t>
      </w:r>
      <w:r w:rsidRPr="6D8B429A">
        <w:rPr>
          <w:rFonts w:eastAsia="Calibri"/>
          <w:sz w:val="22"/>
          <w:szCs w:val="22"/>
        </w:rPr>
        <w:t xml:space="preserve">beneficiaries than </w:t>
      </w:r>
      <w:r w:rsidR="005D04EB" w:rsidRPr="6D8B429A">
        <w:rPr>
          <w:rFonts w:eastAsia="Calibri"/>
          <w:sz w:val="22"/>
          <w:szCs w:val="22"/>
        </w:rPr>
        <w:t xml:space="preserve">for </w:t>
      </w:r>
      <w:r w:rsidRPr="6D8B429A">
        <w:rPr>
          <w:rFonts w:eastAsia="Calibri"/>
          <w:sz w:val="22"/>
          <w:szCs w:val="22"/>
        </w:rPr>
        <w:t>those with Original Medicare;</w:t>
      </w:r>
      <w:r w:rsidRPr="6D8B429A">
        <w:rPr>
          <w:rStyle w:val="FootnoteReference"/>
          <w:rFonts w:eastAsia="Calibri"/>
          <w:sz w:val="22"/>
          <w:szCs w:val="22"/>
        </w:rPr>
        <w:footnoteReference w:id="15"/>
      </w:r>
      <w:r w:rsidRPr="6D8B429A">
        <w:rPr>
          <w:rFonts w:eastAsia="Calibri"/>
          <w:sz w:val="22"/>
          <w:szCs w:val="22"/>
        </w:rPr>
        <w:t xml:space="preserve"> MedPAC estimates payments to MA plans are about 104% of what Original Medicare would have spent </w:t>
      </w:r>
      <w:r w:rsidR="00714B36" w:rsidRPr="6D8B429A">
        <w:rPr>
          <w:rFonts w:eastAsia="Calibri"/>
          <w:sz w:val="22"/>
          <w:szCs w:val="22"/>
        </w:rPr>
        <w:t xml:space="preserve">on </w:t>
      </w:r>
      <w:r w:rsidRPr="6D8B429A">
        <w:rPr>
          <w:rFonts w:eastAsia="Calibri"/>
          <w:sz w:val="22"/>
          <w:szCs w:val="22"/>
        </w:rPr>
        <w:t xml:space="preserve">the same </w:t>
      </w:r>
      <w:r w:rsidR="00714B36" w:rsidRPr="6D8B429A">
        <w:rPr>
          <w:rFonts w:eastAsia="Calibri"/>
          <w:sz w:val="22"/>
          <w:szCs w:val="22"/>
        </w:rPr>
        <w:t xml:space="preserve">care for the same </w:t>
      </w:r>
      <w:r w:rsidRPr="6D8B429A">
        <w:rPr>
          <w:rFonts w:eastAsia="Calibri"/>
          <w:sz w:val="22"/>
          <w:szCs w:val="22"/>
        </w:rPr>
        <w:t>enrollee.</w:t>
      </w:r>
      <w:r w:rsidRPr="6D8B429A">
        <w:rPr>
          <w:rFonts w:eastAsia="Calibri"/>
          <w:sz w:val="22"/>
          <w:szCs w:val="22"/>
          <w:vertAlign w:val="superscript"/>
        </w:rPr>
        <w:footnoteReference w:id="16"/>
      </w:r>
      <w:r w:rsidR="009F27D7" w:rsidRPr="6D8B429A">
        <w:rPr>
          <w:rFonts w:eastAsia="Calibri"/>
          <w:sz w:val="22"/>
          <w:szCs w:val="22"/>
        </w:rPr>
        <w:t xml:space="preserve"> </w:t>
      </w:r>
    </w:p>
    <w:p w14:paraId="236FFF71" w14:textId="7291E9DE" w:rsidR="0052484F" w:rsidRPr="00DC01CC" w:rsidRDefault="00FA3472" w:rsidP="6D8B429A">
      <w:pPr>
        <w:spacing w:after="240" w:line="276" w:lineRule="auto"/>
        <w:rPr>
          <w:sz w:val="22"/>
          <w:szCs w:val="22"/>
        </w:rPr>
      </w:pPr>
      <w:r w:rsidRPr="09F9302C">
        <w:rPr>
          <w:rFonts w:eastAsia="Calibri"/>
          <w:sz w:val="22"/>
          <w:szCs w:val="22"/>
        </w:rPr>
        <w:t>Given t</w:t>
      </w:r>
      <w:r w:rsidR="003811BF" w:rsidRPr="09F9302C">
        <w:rPr>
          <w:rFonts w:eastAsia="Calibri"/>
          <w:sz w:val="22"/>
          <w:szCs w:val="22"/>
        </w:rPr>
        <w:t>hese realities</w:t>
      </w:r>
      <w:r w:rsidRPr="09F9302C">
        <w:rPr>
          <w:rFonts w:eastAsia="Calibri"/>
          <w:sz w:val="22"/>
          <w:szCs w:val="22"/>
        </w:rPr>
        <w:t xml:space="preserve">, </w:t>
      </w:r>
      <w:r w:rsidR="004D2F80" w:rsidRPr="09F9302C">
        <w:rPr>
          <w:rFonts w:eastAsia="Calibri"/>
          <w:sz w:val="22"/>
          <w:szCs w:val="22"/>
        </w:rPr>
        <w:t>policymakers</w:t>
      </w:r>
      <w:r w:rsidR="003811BF" w:rsidRPr="09F9302C">
        <w:rPr>
          <w:rFonts w:eastAsia="Calibri"/>
          <w:sz w:val="22"/>
          <w:szCs w:val="22"/>
        </w:rPr>
        <w:t xml:space="preserve"> </w:t>
      </w:r>
      <w:r w:rsidRPr="09F9302C">
        <w:rPr>
          <w:rFonts w:eastAsia="Calibri"/>
          <w:sz w:val="22"/>
          <w:szCs w:val="22"/>
        </w:rPr>
        <w:t xml:space="preserve">must </w:t>
      </w:r>
      <w:r w:rsidR="003B563B" w:rsidRPr="09F9302C">
        <w:rPr>
          <w:rFonts w:eastAsia="Calibri"/>
          <w:sz w:val="22"/>
          <w:szCs w:val="22"/>
        </w:rPr>
        <w:t xml:space="preserve">use </w:t>
      </w:r>
      <w:r w:rsidR="00356B5E" w:rsidRPr="09F9302C">
        <w:rPr>
          <w:rFonts w:eastAsia="Calibri"/>
          <w:sz w:val="22"/>
          <w:szCs w:val="22"/>
        </w:rPr>
        <w:t xml:space="preserve">every opportunity </w:t>
      </w:r>
      <w:r w:rsidR="003B563B" w:rsidRPr="09F9302C">
        <w:rPr>
          <w:rFonts w:eastAsia="Calibri"/>
          <w:sz w:val="22"/>
          <w:szCs w:val="22"/>
        </w:rPr>
        <w:t xml:space="preserve">to </w:t>
      </w:r>
      <w:r w:rsidR="004075AB" w:rsidRPr="09F9302C">
        <w:rPr>
          <w:rFonts w:eastAsia="Calibri"/>
          <w:sz w:val="22"/>
          <w:szCs w:val="22"/>
        </w:rPr>
        <w:t>re</w:t>
      </w:r>
      <w:r w:rsidR="000B222A" w:rsidRPr="09F9302C">
        <w:rPr>
          <w:rFonts w:eastAsia="Calibri"/>
          <w:sz w:val="22"/>
          <w:szCs w:val="22"/>
        </w:rPr>
        <w:t>medy</w:t>
      </w:r>
      <w:r w:rsidR="003811BF" w:rsidRPr="09F9302C">
        <w:rPr>
          <w:rFonts w:eastAsia="Calibri"/>
          <w:sz w:val="22"/>
          <w:szCs w:val="22"/>
        </w:rPr>
        <w:t xml:space="preserve"> MA financing flaws</w:t>
      </w:r>
      <w:r w:rsidR="000B222A" w:rsidRPr="09F9302C">
        <w:rPr>
          <w:rFonts w:eastAsia="Calibri"/>
          <w:sz w:val="22"/>
          <w:szCs w:val="22"/>
        </w:rPr>
        <w:t xml:space="preserve">; </w:t>
      </w:r>
      <w:r w:rsidR="009B6149" w:rsidRPr="09F9302C">
        <w:rPr>
          <w:sz w:val="22"/>
          <w:szCs w:val="22"/>
        </w:rPr>
        <w:t>w</w:t>
      </w:r>
      <w:r w:rsidR="001754EA" w:rsidRPr="09F9302C">
        <w:rPr>
          <w:sz w:val="22"/>
          <w:szCs w:val="22"/>
        </w:rPr>
        <w:t>e</w:t>
      </w:r>
      <w:r w:rsidR="00800501" w:rsidRPr="09F9302C">
        <w:rPr>
          <w:sz w:val="22"/>
          <w:szCs w:val="22"/>
        </w:rPr>
        <w:t xml:space="preserve"> </w:t>
      </w:r>
      <w:r w:rsidR="001754EA" w:rsidRPr="09F9302C">
        <w:rPr>
          <w:sz w:val="22"/>
          <w:szCs w:val="22"/>
        </w:rPr>
        <w:t xml:space="preserve">appreciate </w:t>
      </w:r>
      <w:r w:rsidR="00884AD7" w:rsidRPr="09F9302C">
        <w:rPr>
          <w:sz w:val="22"/>
          <w:szCs w:val="22"/>
        </w:rPr>
        <w:t>th</w:t>
      </w:r>
      <w:r w:rsidR="00366F97" w:rsidRPr="09F9302C">
        <w:rPr>
          <w:sz w:val="22"/>
          <w:szCs w:val="22"/>
        </w:rPr>
        <w:t>e</w:t>
      </w:r>
      <w:r w:rsidR="00884AD7" w:rsidRPr="09F9302C">
        <w:rPr>
          <w:sz w:val="22"/>
          <w:szCs w:val="22"/>
        </w:rPr>
        <w:t xml:space="preserve"> AN </w:t>
      </w:r>
      <w:bookmarkStart w:id="4" w:name="_Int_mWCseRK6"/>
      <w:r w:rsidR="00884AD7" w:rsidRPr="09F9302C">
        <w:rPr>
          <w:sz w:val="22"/>
          <w:szCs w:val="22"/>
        </w:rPr>
        <w:t>provisions</w:t>
      </w:r>
      <w:bookmarkEnd w:id="4"/>
      <w:r w:rsidR="00884AD7" w:rsidRPr="09F9302C">
        <w:rPr>
          <w:sz w:val="22"/>
          <w:szCs w:val="22"/>
        </w:rPr>
        <w:t xml:space="preserve"> </w:t>
      </w:r>
      <w:r w:rsidR="005D61F3" w:rsidRPr="09F9302C">
        <w:rPr>
          <w:sz w:val="22"/>
          <w:szCs w:val="22"/>
        </w:rPr>
        <w:t>t</w:t>
      </w:r>
      <w:r w:rsidR="7042B22F" w:rsidRPr="09F9302C">
        <w:rPr>
          <w:sz w:val="22"/>
          <w:szCs w:val="22"/>
        </w:rPr>
        <w:t xml:space="preserve">hat would advance this goal. </w:t>
      </w:r>
      <w:bookmarkStart w:id="5" w:name="_Int_IwZtYxEf"/>
      <w:r w:rsidR="7042B22F" w:rsidRPr="09F9302C">
        <w:rPr>
          <w:sz w:val="22"/>
          <w:szCs w:val="22"/>
        </w:rPr>
        <w:t>The</w:t>
      </w:r>
      <w:r w:rsidR="005D61F3" w:rsidRPr="09F9302C">
        <w:rPr>
          <w:sz w:val="22"/>
          <w:szCs w:val="22"/>
        </w:rPr>
        <w:t xml:space="preserve"> </w:t>
      </w:r>
      <w:r w:rsidR="00616316" w:rsidRPr="09F9302C">
        <w:rPr>
          <w:sz w:val="22"/>
          <w:szCs w:val="22"/>
        </w:rPr>
        <w:t xml:space="preserve">risk adjustment </w:t>
      </w:r>
      <w:r w:rsidR="6F57E4A3" w:rsidRPr="09F9302C">
        <w:rPr>
          <w:sz w:val="22"/>
          <w:szCs w:val="22"/>
        </w:rPr>
        <w:t xml:space="preserve">updates </w:t>
      </w:r>
      <w:proofErr w:type="gramStart"/>
      <w:r w:rsidR="6F57E4A3" w:rsidRPr="09F9302C">
        <w:rPr>
          <w:sz w:val="22"/>
          <w:szCs w:val="22"/>
        </w:rPr>
        <w:t>in particular</w:t>
      </w:r>
      <w:r w:rsidR="00096F1E" w:rsidRPr="09F9302C">
        <w:rPr>
          <w:sz w:val="22"/>
          <w:szCs w:val="22"/>
        </w:rPr>
        <w:t xml:space="preserve"> would</w:t>
      </w:r>
      <w:proofErr w:type="gramEnd"/>
      <w:r w:rsidR="00096F1E" w:rsidRPr="09F9302C">
        <w:rPr>
          <w:sz w:val="22"/>
          <w:szCs w:val="22"/>
        </w:rPr>
        <w:t xml:space="preserve"> </w:t>
      </w:r>
      <w:r w:rsidR="002C45C7" w:rsidRPr="09F9302C">
        <w:rPr>
          <w:sz w:val="22"/>
          <w:szCs w:val="22"/>
        </w:rPr>
        <w:t xml:space="preserve">make </w:t>
      </w:r>
      <w:r w:rsidR="00853EE8" w:rsidRPr="09F9302C">
        <w:rPr>
          <w:sz w:val="22"/>
          <w:szCs w:val="22"/>
        </w:rPr>
        <w:t>MA payment methodology more accurate and rates more rational</w:t>
      </w:r>
      <w:r w:rsidR="00AD3C38" w:rsidRPr="09F9302C">
        <w:rPr>
          <w:sz w:val="22"/>
          <w:szCs w:val="22"/>
        </w:rPr>
        <w:t>, appropriately slowing MA</w:t>
      </w:r>
      <w:r w:rsidR="00E60414" w:rsidRPr="09F9302C">
        <w:rPr>
          <w:sz w:val="22"/>
          <w:szCs w:val="22"/>
        </w:rPr>
        <w:t xml:space="preserve"> </w:t>
      </w:r>
      <w:r w:rsidR="00AD3C38" w:rsidRPr="09F9302C">
        <w:rPr>
          <w:sz w:val="22"/>
          <w:szCs w:val="22"/>
        </w:rPr>
        <w:t xml:space="preserve">payment </w:t>
      </w:r>
      <w:r w:rsidR="0038182C" w:rsidRPr="09F9302C">
        <w:rPr>
          <w:sz w:val="22"/>
          <w:szCs w:val="22"/>
        </w:rPr>
        <w:t xml:space="preserve">growth </w:t>
      </w:r>
      <w:r w:rsidR="00AD3C38" w:rsidRPr="09F9302C">
        <w:rPr>
          <w:sz w:val="22"/>
          <w:szCs w:val="22"/>
        </w:rPr>
        <w:t xml:space="preserve">while </w:t>
      </w:r>
      <w:r w:rsidR="00970B53" w:rsidRPr="09F9302C">
        <w:rPr>
          <w:sz w:val="22"/>
          <w:szCs w:val="22"/>
        </w:rPr>
        <w:t>maintain</w:t>
      </w:r>
      <w:r w:rsidR="00765B05" w:rsidRPr="09F9302C">
        <w:rPr>
          <w:sz w:val="22"/>
          <w:szCs w:val="22"/>
        </w:rPr>
        <w:t>ing beneficiary</w:t>
      </w:r>
      <w:r w:rsidR="00AD3C38" w:rsidRPr="09F9302C">
        <w:rPr>
          <w:sz w:val="22"/>
          <w:szCs w:val="22"/>
        </w:rPr>
        <w:t xml:space="preserve"> access to</w:t>
      </w:r>
      <w:r w:rsidR="00EF093D" w:rsidRPr="09F9302C">
        <w:rPr>
          <w:sz w:val="22"/>
          <w:szCs w:val="22"/>
        </w:rPr>
        <w:t xml:space="preserve"> a flourishing MA marketplace</w:t>
      </w:r>
      <w:r w:rsidR="008B5D01" w:rsidRPr="09F9302C">
        <w:rPr>
          <w:sz w:val="22"/>
          <w:szCs w:val="22"/>
        </w:rPr>
        <w:t>.</w:t>
      </w:r>
      <w:bookmarkEnd w:id="5"/>
      <w:r w:rsidR="00F86B40" w:rsidRPr="09F9302C">
        <w:rPr>
          <w:sz w:val="22"/>
          <w:szCs w:val="22"/>
        </w:rPr>
        <w:t xml:space="preserve"> </w:t>
      </w:r>
      <w:r w:rsidR="00884AD7" w:rsidRPr="09F9302C">
        <w:rPr>
          <w:rFonts w:eastAsia="Calibri"/>
          <w:sz w:val="22"/>
          <w:szCs w:val="22"/>
        </w:rPr>
        <w:t xml:space="preserve">We </w:t>
      </w:r>
      <w:r w:rsidR="00CF17A6" w:rsidRPr="09F9302C">
        <w:rPr>
          <w:rFonts w:eastAsia="Calibri"/>
          <w:sz w:val="22"/>
          <w:szCs w:val="22"/>
        </w:rPr>
        <w:t>encourage</w:t>
      </w:r>
      <w:r w:rsidR="00884AD7" w:rsidRPr="09F9302C">
        <w:rPr>
          <w:rFonts w:eastAsia="Calibri"/>
          <w:sz w:val="22"/>
          <w:szCs w:val="22"/>
        </w:rPr>
        <w:t xml:space="preserve"> CMS to finalize this proposal and to </w:t>
      </w:r>
      <w:r w:rsidR="00CF17A6" w:rsidRPr="09F9302C">
        <w:rPr>
          <w:rFonts w:eastAsia="Calibri"/>
          <w:sz w:val="22"/>
          <w:szCs w:val="22"/>
        </w:rPr>
        <w:t xml:space="preserve">revise </w:t>
      </w:r>
      <w:r w:rsidR="00884AD7" w:rsidRPr="09F9302C">
        <w:rPr>
          <w:rFonts w:eastAsia="Calibri"/>
          <w:sz w:val="22"/>
          <w:szCs w:val="22"/>
        </w:rPr>
        <w:t xml:space="preserve">others, </w:t>
      </w:r>
      <w:r w:rsidR="47D7803F" w:rsidRPr="09F9302C">
        <w:rPr>
          <w:rFonts w:eastAsia="Calibri"/>
          <w:sz w:val="22"/>
          <w:szCs w:val="22"/>
        </w:rPr>
        <w:t xml:space="preserve">including by </w:t>
      </w:r>
      <w:r w:rsidR="00CF17A6" w:rsidRPr="09F9302C">
        <w:rPr>
          <w:rFonts w:eastAsia="Calibri"/>
          <w:sz w:val="22"/>
          <w:szCs w:val="22"/>
        </w:rPr>
        <w:t xml:space="preserve">more forcefully </w:t>
      </w:r>
      <w:r w:rsidR="47D7803F" w:rsidRPr="09F9302C">
        <w:rPr>
          <w:rFonts w:eastAsia="Calibri"/>
          <w:sz w:val="22"/>
          <w:szCs w:val="22"/>
        </w:rPr>
        <w:t>address</w:t>
      </w:r>
      <w:r w:rsidR="00CF17A6" w:rsidRPr="09F9302C">
        <w:rPr>
          <w:rFonts w:eastAsia="Calibri"/>
          <w:sz w:val="22"/>
          <w:szCs w:val="22"/>
        </w:rPr>
        <w:t>ing</w:t>
      </w:r>
      <w:r w:rsidR="47D7803F" w:rsidRPr="09F9302C">
        <w:rPr>
          <w:rFonts w:eastAsia="Calibri"/>
          <w:sz w:val="22"/>
          <w:szCs w:val="22"/>
        </w:rPr>
        <w:t xml:space="preserve"> coding variances</w:t>
      </w:r>
      <w:r w:rsidR="00A439B8" w:rsidRPr="09F9302C">
        <w:rPr>
          <w:rFonts w:eastAsia="Calibri"/>
          <w:sz w:val="22"/>
          <w:szCs w:val="22"/>
        </w:rPr>
        <w:t xml:space="preserve"> and abuses</w:t>
      </w:r>
      <w:r w:rsidR="47D7803F" w:rsidRPr="09F9302C">
        <w:rPr>
          <w:rFonts w:eastAsia="Calibri"/>
          <w:sz w:val="22"/>
          <w:szCs w:val="22"/>
        </w:rPr>
        <w:t>. Taken together,</w:t>
      </w:r>
      <w:r w:rsidR="00FE3FA0" w:rsidRPr="09F9302C">
        <w:rPr>
          <w:sz w:val="22"/>
          <w:szCs w:val="22"/>
        </w:rPr>
        <w:t xml:space="preserve"> t</w:t>
      </w:r>
      <w:r w:rsidR="00F4089A" w:rsidRPr="09F9302C">
        <w:rPr>
          <w:sz w:val="22"/>
          <w:szCs w:val="22"/>
        </w:rPr>
        <w:t>h</w:t>
      </w:r>
      <w:r w:rsidR="31F48E3C" w:rsidRPr="09F9302C">
        <w:rPr>
          <w:sz w:val="22"/>
          <w:szCs w:val="22"/>
        </w:rPr>
        <w:t>e</w:t>
      </w:r>
      <w:r w:rsidR="00970B53" w:rsidRPr="09F9302C">
        <w:rPr>
          <w:sz w:val="22"/>
          <w:szCs w:val="22"/>
        </w:rPr>
        <w:t>se and other</w:t>
      </w:r>
      <w:r w:rsidR="31F48E3C" w:rsidRPr="09F9302C">
        <w:rPr>
          <w:sz w:val="22"/>
          <w:szCs w:val="22"/>
        </w:rPr>
        <w:t xml:space="preserve"> changes </w:t>
      </w:r>
      <w:r w:rsidR="00970B53" w:rsidRPr="09F9302C">
        <w:rPr>
          <w:sz w:val="22"/>
          <w:szCs w:val="22"/>
        </w:rPr>
        <w:t xml:space="preserve">in </w:t>
      </w:r>
      <w:r w:rsidR="31F48E3C" w:rsidRPr="09F9302C">
        <w:rPr>
          <w:sz w:val="22"/>
          <w:szCs w:val="22"/>
        </w:rPr>
        <w:t>the AN</w:t>
      </w:r>
      <w:r w:rsidR="00F4089A" w:rsidRPr="09F9302C">
        <w:rPr>
          <w:sz w:val="22"/>
          <w:szCs w:val="22"/>
        </w:rPr>
        <w:t xml:space="preserve"> would</w:t>
      </w:r>
      <w:r w:rsidR="00AD4AA3" w:rsidRPr="09F9302C">
        <w:rPr>
          <w:sz w:val="22"/>
          <w:szCs w:val="22"/>
        </w:rPr>
        <w:t xml:space="preserve"> </w:t>
      </w:r>
      <w:r w:rsidR="75B9995C" w:rsidRPr="09F9302C">
        <w:rPr>
          <w:sz w:val="22"/>
          <w:szCs w:val="22"/>
        </w:rPr>
        <w:t xml:space="preserve">increase </w:t>
      </w:r>
      <w:r w:rsidR="0052484F" w:rsidRPr="09F9302C">
        <w:rPr>
          <w:sz w:val="22"/>
          <w:szCs w:val="22"/>
        </w:rPr>
        <w:t xml:space="preserve">plan payments by </w:t>
      </w:r>
      <w:r w:rsidR="00853EE8" w:rsidRPr="09F9302C">
        <w:rPr>
          <w:sz w:val="22"/>
          <w:szCs w:val="22"/>
        </w:rPr>
        <w:t>1%</w:t>
      </w:r>
      <w:r w:rsidR="052B7713" w:rsidRPr="09F9302C">
        <w:rPr>
          <w:sz w:val="22"/>
          <w:szCs w:val="22"/>
        </w:rPr>
        <w:t xml:space="preserve"> next year</w:t>
      </w:r>
      <w:r w:rsidR="0052484F" w:rsidRPr="09F9302C">
        <w:rPr>
          <w:sz w:val="22"/>
          <w:szCs w:val="22"/>
        </w:rPr>
        <w:t>,</w:t>
      </w:r>
      <w:r w:rsidR="00CE0007" w:rsidRPr="09F9302C">
        <w:rPr>
          <w:sz w:val="22"/>
          <w:szCs w:val="22"/>
        </w:rPr>
        <w:t xml:space="preserve"> on top of an 8.5% </w:t>
      </w:r>
      <w:r w:rsidR="162753C2" w:rsidRPr="09F9302C">
        <w:rPr>
          <w:sz w:val="22"/>
          <w:szCs w:val="22"/>
        </w:rPr>
        <w:t>hike</w:t>
      </w:r>
      <w:r w:rsidR="00CE0007" w:rsidRPr="09F9302C">
        <w:rPr>
          <w:sz w:val="22"/>
          <w:szCs w:val="22"/>
        </w:rPr>
        <w:t xml:space="preserve"> in 2023. </w:t>
      </w:r>
    </w:p>
    <w:p w14:paraId="103974BF" w14:textId="461368D5" w:rsidR="00D478BE" w:rsidRPr="00D00D0D" w:rsidRDefault="00853EE8" w:rsidP="6D8B429A">
      <w:pPr>
        <w:spacing w:after="240" w:line="276" w:lineRule="auto"/>
        <w:rPr>
          <w:sz w:val="22"/>
          <w:szCs w:val="22"/>
        </w:rPr>
      </w:pPr>
      <w:r w:rsidRPr="79C999FD">
        <w:rPr>
          <w:sz w:val="22"/>
          <w:szCs w:val="22"/>
        </w:rPr>
        <w:lastRenderedPageBreak/>
        <w:t>R</w:t>
      </w:r>
      <w:r w:rsidR="00992AC1" w:rsidRPr="79C999FD">
        <w:rPr>
          <w:sz w:val="22"/>
          <w:szCs w:val="22"/>
        </w:rPr>
        <w:t xml:space="preserve">eining in </w:t>
      </w:r>
      <w:r w:rsidR="00F4089A" w:rsidRPr="79C999FD">
        <w:rPr>
          <w:sz w:val="22"/>
          <w:szCs w:val="22"/>
        </w:rPr>
        <w:t>MA overpayment</w:t>
      </w:r>
      <w:r w:rsidR="00992AC1" w:rsidRPr="79C999FD">
        <w:rPr>
          <w:sz w:val="22"/>
          <w:szCs w:val="22"/>
        </w:rPr>
        <w:t>s</w:t>
      </w:r>
      <w:r w:rsidR="00B372EB" w:rsidRPr="79C999FD">
        <w:rPr>
          <w:sz w:val="22"/>
          <w:szCs w:val="22"/>
        </w:rPr>
        <w:t xml:space="preserve"> is long</w:t>
      </w:r>
      <w:r w:rsidR="001D30BC" w:rsidRPr="79C999FD">
        <w:rPr>
          <w:sz w:val="22"/>
          <w:szCs w:val="22"/>
        </w:rPr>
        <w:t xml:space="preserve"> </w:t>
      </w:r>
      <w:r w:rsidR="00B372EB" w:rsidRPr="79C999FD">
        <w:rPr>
          <w:sz w:val="22"/>
          <w:szCs w:val="22"/>
        </w:rPr>
        <w:t>overdue</w:t>
      </w:r>
      <w:r w:rsidR="00447357" w:rsidRPr="79C999FD">
        <w:rPr>
          <w:sz w:val="22"/>
          <w:szCs w:val="22"/>
        </w:rPr>
        <w:t xml:space="preserve">. Troublingly, this move towards </w:t>
      </w:r>
      <w:r w:rsidR="00447357" w:rsidRPr="00B056D1">
        <w:rPr>
          <w:sz w:val="22"/>
          <w:szCs w:val="22"/>
        </w:rPr>
        <w:t>accuracy</w:t>
      </w:r>
      <w:r w:rsidR="00447357" w:rsidRPr="00884AD7">
        <w:rPr>
          <w:b/>
          <w:bCs/>
          <w:sz w:val="22"/>
          <w:szCs w:val="22"/>
        </w:rPr>
        <w:t xml:space="preserve"> </w:t>
      </w:r>
      <w:r w:rsidR="00447357" w:rsidRPr="00B056D1">
        <w:rPr>
          <w:sz w:val="22"/>
          <w:szCs w:val="22"/>
        </w:rPr>
        <w:t>i</w:t>
      </w:r>
      <w:r w:rsidR="00447357" w:rsidRPr="79C999FD">
        <w:rPr>
          <w:sz w:val="22"/>
          <w:szCs w:val="22"/>
        </w:rPr>
        <w:t>s</w:t>
      </w:r>
      <w:r w:rsidR="00B372EB" w:rsidRPr="79C999FD">
        <w:rPr>
          <w:sz w:val="22"/>
          <w:szCs w:val="22"/>
        </w:rPr>
        <w:t xml:space="preserve"> </w:t>
      </w:r>
      <w:r w:rsidR="00F4089A" w:rsidRPr="79C999FD">
        <w:rPr>
          <w:sz w:val="22"/>
          <w:szCs w:val="22"/>
        </w:rPr>
        <w:t>caus</w:t>
      </w:r>
      <w:r w:rsidR="00FC4E4A" w:rsidRPr="79C999FD">
        <w:rPr>
          <w:sz w:val="22"/>
          <w:szCs w:val="22"/>
        </w:rPr>
        <w:t>ing</w:t>
      </w:r>
      <w:r w:rsidR="00F4089A" w:rsidRPr="79C999FD">
        <w:rPr>
          <w:sz w:val="22"/>
          <w:szCs w:val="22"/>
        </w:rPr>
        <w:t xml:space="preserve"> some plans to c</w:t>
      </w:r>
      <w:r w:rsidR="00862C7D" w:rsidRPr="79C999FD">
        <w:rPr>
          <w:sz w:val="22"/>
          <w:szCs w:val="22"/>
        </w:rPr>
        <w:t>onsider</w:t>
      </w:r>
      <w:r w:rsidR="00992AC1" w:rsidRPr="79C999FD">
        <w:rPr>
          <w:sz w:val="22"/>
          <w:szCs w:val="22"/>
        </w:rPr>
        <w:t xml:space="preserve">, or at least </w:t>
      </w:r>
      <w:r w:rsidR="007035A0" w:rsidRPr="79C999FD">
        <w:rPr>
          <w:sz w:val="22"/>
          <w:szCs w:val="22"/>
        </w:rPr>
        <w:t xml:space="preserve">to </w:t>
      </w:r>
      <w:r w:rsidR="00992AC1" w:rsidRPr="79C999FD">
        <w:rPr>
          <w:sz w:val="22"/>
          <w:szCs w:val="22"/>
        </w:rPr>
        <w:t xml:space="preserve">threaten, </w:t>
      </w:r>
      <w:r w:rsidR="00A529CA" w:rsidRPr="79C999FD">
        <w:rPr>
          <w:sz w:val="22"/>
          <w:szCs w:val="22"/>
        </w:rPr>
        <w:t xml:space="preserve">to scale back benefits, raise premiums, </w:t>
      </w:r>
      <w:r w:rsidR="00F4089A" w:rsidRPr="79C999FD">
        <w:rPr>
          <w:sz w:val="22"/>
          <w:szCs w:val="22"/>
        </w:rPr>
        <w:t>or both.</w:t>
      </w:r>
      <w:r w:rsidR="002F17BE" w:rsidRPr="79C999FD">
        <w:rPr>
          <w:rStyle w:val="FootnoteReference"/>
          <w:sz w:val="22"/>
          <w:szCs w:val="22"/>
        </w:rPr>
        <w:footnoteReference w:id="17"/>
      </w:r>
      <w:r w:rsidR="00F4089A" w:rsidRPr="79C999FD">
        <w:rPr>
          <w:sz w:val="22"/>
          <w:szCs w:val="22"/>
        </w:rPr>
        <w:t xml:space="preserve"> </w:t>
      </w:r>
      <w:r w:rsidR="3434CAD1" w:rsidRPr="79C999FD">
        <w:rPr>
          <w:sz w:val="22"/>
          <w:szCs w:val="22"/>
        </w:rPr>
        <w:t xml:space="preserve">In context, however, this risk </w:t>
      </w:r>
      <w:r w:rsidR="007355FE" w:rsidRPr="79C999FD">
        <w:rPr>
          <w:sz w:val="22"/>
          <w:szCs w:val="22"/>
        </w:rPr>
        <w:t>appear</w:t>
      </w:r>
      <w:r w:rsidR="3434CAD1" w:rsidRPr="79C999FD">
        <w:rPr>
          <w:sz w:val="22"/>
          <w:szCs w:val="22"/>
        </w:rPr>
        <w:t>s overblown</w:t>
      </w:r>
      <w:r w:rsidR="00862C7D" w:rsidRPr="79C999FD">
        <w:rPr>
          <w:sz w:val="22"/>
          <w:szCs w:val="22"/>
        </w:rPr>
        <w:t xml:space="preserve">; </w:t>
      </w:r>
      <w:r w:rsidR="004422BD" w:rsidRPr="79C999FD">
        <w:rPr>
          <w:sz w:val="22"/>
          <w:szCs w:val="22"/>
        </w:rPr>
        <w:t xml:space="preserve">beneficiaries would have the option to abandon or avoid </w:t>
      </w:r>
      <w:r w:rsidR="00767EE5" w:rsidRPr="79C999FD">
        <w:rPr>
          <w:sz w:val="22"/>
          <w:szCs w:val="22"/>
        </w:rPr>
        <w:t xml:space="preserve">such </w:t>
      </w:r>
      <w:r w:rsidR="004422BD" w:rsidRPr="79C999FD">
        <w:rPr>
          <w:sz w:val="22"/>
          <w:szCs w:val="22"/>
        </w:rPr>
        <w:t>plans</w:t>
      </w:r>
      <w:r w:rsidR="00C3740C" w:rsidRPr="79C999FD">
        <w:rPr>
          <w:sz w:val="22"/>
          <w:szCs w:val="22"/>
        </w:rPr>
        <w:t xml:space="preserve">, blunting </w:t>
      </w:r>
      <w:r w:rsidR="00265CC6" w:rsidRPr="79C999FD">
        <w:rPr>
          <w:sz w:val="22"/>
          <w:szCs w:val="22"/>
        </w:rPr>
        <w:t xml:space="preserve">envisioned </w:t>
      </w:r>
      <w:r w:rsidR="00C3740C" w:rsidRPr="79C999FD">
        <w:rPr>
          <w:sz w:val="22"/>
          <w:szCs w:val="22"/>
        </w:rPr>
        <w:t>profit</w:t>
      </w:r>
      <w:r w:rsidR="0033223B" w:rsidRPr="79C999FD">
        <w:rPr>
          <w:sz w:val="22"/>
          <w:szCs w:val="22"/>
        </w:rPr>
        <w:t>s.</w:t>
      </w:r>
      <w:r w:rsidR="007B6ECB">
        <w:rPr>
          <w:sz w:val="22"/>
          <w:szCs w:val="22"/>
        </w:rPr>
        <w:t xml:space="preserve"> These</w:t>
      </w:r>
      <w:r w:rsidR="00A02864" w:rsidRPr="79C999FD">
        <w:rPr>
          <w:sz w:val="22"/>
          <w:szCs w:val="22"/>
        </w:rPr>
        <w:t xml:space="preserve"> cuts</w:t>
      </w:r>
      <w:r w:rsidR="00D478BE" w:rsidRPr="79C999FD">
        <w:rPr>
          <w:sz w:val="22"/>
          <w:szCs w:val="22"/>
        </w:rPr>
        <w:t xml:space="preserve"> </w:t>
      </w:r>
      <w:r w:rsidR="007B6ECB">
        <w:rPr>
          <w:sz w:val="22"/>
          <w:szCs w:val="22"/>
        </w:rPr>
        <w:t xml:space="preserve">are additionally unlikely because they </w:t>
      </w:r>
      <w:r w:rsidR="00D478BE" w:rsidRPr="79C999FD">
        <w:rPr>
          <w:sz w:val="22"/>
          <w:szCs w:val="22"/>
        </w:rPr>
        <w:t xml:space="preserve">would </w:t>
      </w:r>
      <w:r w:rsidR="00A02864" w:rsidRPr="79C999FD">
        <w:rPr>
          <w:sz w:val="22"/>
          <w:szCs w:val="22"/>
        </w:rPr>
        <w:t xml:space="preserve">undermine </w:t>
      </w:r>
      <w:r w:rsidR="00A02864" w:rsidRPr="3F5C5702">
        <w:rPr>
          <w:sz w:val="22"/>
          <w:szCs w:val="22"/>
        </w:rPr>
        <w:t>t</w:t>
      </w:r>
      <w:r w:rsidR="00D478BE" w:rsidRPr="3F5C5702">
        <w:rPr>
          <w:sz w:val="22"/>
          <w:szCs w:val="22"/>
        </w:rPr>
        <w:t>he</w:t>
      </w:r>
      <w:r w:rsidR="4A75B3B9" w:rsidRPr="3F5C5702">
        <w:rPr>
          <w:sz w:val="22"/>
          <w:szCs w:val="22"/>
        </w:rPr>
        <w:t xml:space="preserve"> </w:t>
      </w:r>
      <w:r w:rsidR="7DE15D47" w:rsidRPr="6D8B429A">
        <w:rPr>
          <w:sz w:val="22"/>
          <w:szCs w:val="22"/>
        </w:rPr>
        <w:t>industry</w:t>
      </w:r>
      <w:r w:rsidR="7644F82B" w:rsidRPr="6D8B429A">
        <w:rPr>
          <w:sz w:val="22"/>
          <w:szCs w:val="22"/>
        </w:rPr>
        <w:t>’</w:t>
      </w:r>
      <w:r w:rsidR="7DE15D47" w:rsidRPr="6D8B429A">
        <w:rPr>
          <w:sz w:val="22"/>
          <w:szCs w:val="22"/>
        </w:rPr>
        <w:t>s</w:t>
      </w:r>
      <w:r w:rsidR="00D478BE" w:rsidRPr="79C999FD">
        <w:rPr>
          <w:sz w:val="22"/>
          <w:szCs w:val="22"/>
        </w:rPr>
        <w:t xml:space="preserve"> most powerful marketing tool: supplemental benefits. MA plans are required to cover the same services as O</w:t>
      </w:r>
      <w:r w:rsidR="00B056D1">
        <w:rPr>
          <w:sz w:val="22"/>
          <w:szCs w:val="22"/>
        </w:rPr>
        <w:t xml:space="preserve">riginal </w:t>
      </w:r>
      <w:r w:rsidR="00D478BE" w:rsidRPr="79C999FD">
        <w:rPr>
          <w:sz w:val="22"/>
          <w:szCs w:val="22"/>
        </w:rPr>
        <w:t>M</w:t>
      </w:r>
      <w:r w:rsidR="00B056D1">
        <w:rPr>
          <w:sz w:val="22"/>
          <w:szCs w:val="22"/>
        </w:rPr>
        <w:t>edicare</w:t>
      </w:r>
      <w:r w:rsidR="00D478BE" w:rsidRPr="79C999FD">
        <w:rPr>
          <w:sz w:val="22"/>
          <w:szCs w:val="22"/>
        </w:rPr>
        <w:t xml:space="preserve"> and may offer benefits beyond that, ranging from gym memberships to limited vision and dental care.</w:t>
      </w:r>
      <w:r w:rsidR="00D478BE" w:rsidRPr="6D8B429A">
        <w:rPr>
          <w:sz w:val="22"/>
          <w:szCs w:val="22"/>
          <w:vertAlign w:val="superscript"/>
        </w:rPr>
        <w:footnoteReference w:id="18"/>
      </w:r>
      <w:r w:rsidR="00D478BE" w:rsidRPr="79C999FD">
        <w:rPr>
          <w:sz w:val="22"/>
          <w:szCs w:val="22"/>
        </w:rPr>
        <w:t xml:space="preserve"> </w:t>
      </w:r>
      <w:bookmarkStart w:id="6" w:name="_Int_Kxvvn53Q"/>
      <w:r w:rsidR="00D478BE" w:rsidRPr="79C999FD">
        <w:rPr>
          <w:sz w:val="22"/>
          <w:szCs w:val="22"/>
        </w:rPr>
        <w:t>Virtually all</w:t>
      </w:r>
      <w:bookmarkEnd w:id="6"/>
      <w:r w:rsidR="00D478BE" w:rsidRPr="79C999FD">
        <w:rPr>
          <w:sz w:val="22"/>
          <w:szCs w:val="22"/>
        </w:rPr>
        <w:t xml:space="preserve"> plans do so, a</w:t>
      </w:r>
      <w:r w:rsidR="000B222A">
        <w:rPr>
          <w:sz w:val="22"/>
          <w:szCs w:val="22"/>
        </w:rPr>
        <w:t xml:space="preserve">nd </w:t>
      </w:r>
      <w:r w:rsidR="00D478BE" w:rsidRPr="79C999FD">
        <w:rPr>
          <w:sz w:val="22"/>
          <w:szCs w:val="22"/>
        </w:rPr>
        <w:t xml:space="preserve">market them to maximize enrollment—with </w:t>
      </w:r>
      <w:bookmarkStart w:id="7" w:name="_Int_vKfwqHMi"/>
      <w:r w:rsidR="00D478BE" w:rsidRPr="79C999FD">
        <w:rPr>
          <w:sz w:val="22"/>
          <w:szCs w:val="22"/>
        </w:rPr>
        <w:t>great success</w:t>
      </w:r>
      <w:bookmarkEnd w:id="7"/>
      <w:r w:rsidR="00D478BE" w:rsidRPr="79C999FD">
        <w:rPr>
          <w:sz w:val="22"/>
          <w:szCs w:val="22"/>
        </w:rPr>
        <w:t>. In 2022, supplemental benefits were the most common reason enrollees cited for choosing an MA plan over O</w:t>
      </w:r>
      <w:r w:rsidR="00B056D1">
        <w:rPr>
          <w:sz w:val="22"/>
          <w:szCs w:val="22"/>
        </w:rPr>
        <w:t xml:space="preserve">riginal </w:t>
      </w:r>
      <w:r w:rsidR="00D478BE" w:rsidRPr="79C999FD">
        <w:rPr>
          <w:sz w:val="22"/>
          <w:szCs w:val="22"/>
        </w:rPr>
        <w:t>M</w:t>
      </w:r>
      <w:r w:rsidR="00B056D1">
        <w:rPr>
          <w:sz w:val="22"/>
          <w:szCs w:val="22"/>
        </w:rPr>
        <w:t>edicare</w:t>
      </w:r>
      <w:r w:rsidR="00D478BE" w:rsidRPr="79C999FD">
        <w:rPr>
          <w:sz w:val="22"/>
          <w:szCs w:val="22"/>
        </w:rPr>
        <w:t>.</w:t>
      </w:r>
      <w:r w:rsidR="00D478BE" w:rsidRPr="6D8B429A">
        <w:rPr>
          <w:sz w:val="22"/>
          <w:szCs w:val="22"/>
          <w:vertAlign w:val="superscript"/>
        </w:rPr>
        <w:footnoteReference w:id="19"/>
      </w:r>
      <w:r w:rsidR="00D478BE" w:rsidRPr="79C999FD">
        <w:rPr>
          <w:sz w:val="22"/>
          <w:szCs w:val="22"/>
        </w:rPr>
        <w:t xml:space="preserve"> </w:t>
      </w:r>
    </w:p>
    <w:p w14:paraId="5E2C04F2" w14:textId="048C828B" w:rsidR="00B909C5" w:rsidRPr="00573435" w:rsidRDefault="00053215" w:rsidP="6D8B429A">
      <w:pPr>
        <w:spacing w:after="240" w:line="276" w:lineRule="auto"/>
        <w:rPr>
          <w:sz w:val="22"/>
          <w:szCs w:val="22"/>
        </w:rPr>
      </w:pPr>
      <w:r w:rsidRPr="6D8B429A">
        <w:rPr>
          <w:sz w:val="22"/>
          <w:szCs w:val="22"/>
        </w:rPr>
        <w:t>I</w:t>
      </w:r>
      <w:r w:rsidR="00677B4F" w:rsidRPr="6D8B429A">
        <w:rPr>
          <w:sz w:val="22"/>
          <w:szCs w:val="22"/>
        </w:rPr>
        <w:t xml:space="preserve">t also </w:t>
      </w:r>
      <w:r w:rsidR="007355FE" w:rsidRPr="6D8B429A">
        <w:rPr>
          <w:sz w:val="22"/>
          <w:szCs w:val="22"/>
        </w:rPr>
        <w:t xml:space="preserve">appears </w:t>
      </w:r>
      <w:r w:rsidR="00677B4F" w:rsidRPr="6D8B429A">
        <w:rPr>
          <w:sz w:val="22"/>
          <w:szCs w:val="22"/>
        </w:rPr>
        <w:t xml:space="preserve">disingenuous. </w:t>
      </w:r>
      <w:r w:rsidR="00B909C5" w:rsidRPr="6D8B429A">
        <w:rPr>
          <w:sz w:val="22"/>
          <w:szCs w:val="22"/>
        </w:rPr>
        <w:t xml:space="preserve">MA plans consistently report much </w:t>
      </w:r>
      <w:r w:rsidR="00EA008B" w:rsidRPr="6D8B429A">
        <w:rPr>
          <w:sz w:val="22"/>
          <w:szCs w:val="22"/>
        </w:rPr>
        <w:t>larg</w:t>
      </w:r>
      <w:r w:rsidR="00B909C5" w:rsidRPr="6D8B429A">
        <w:rPr>
          <w:sz w:val="22"/>
          <w:szCs w:val="22"/>
        </w:rPr>
        <w:t xml:space="preserve">er profit margins than other insurers, indicating </w:t>
      </w:r>
      <w:bookmarkStart w:id="8" w:name="_Int_ePs4KmjZ"/>
      <w:r w:rsidR="004C4D2E" w:rsidRPr="6D8B429A">
        <w:rPr>
          <w:sz w:val="22"/>
          <w:szCs w:val="22"/>
        </w:rPr>
        <w:t xml:space="preserve">ample </w:t>
      </w:r>
      <w:r w:rsidR="00B909C5" w:rsidRPr="6D8B429A">
        <w:rPr>
          <w:sz w:val="22"/>
          <w:szCs w:val="22"/>
        </w:rPr>
        <w:t>opportuni</w:t>
      </w:r>
      <w:r w:rsidR="004C4D2E" w:rsidRPr="6D8B429A">
        <w:rPr>
          <w:sz w:val="22"/>
          <w:szCs w:val="22"/>
        </w:rPr>
        <w:t>ty</w:t>
      </w:r>
      <w:bookmarkEnd w:id="8"/>
      <w:r w:rsidR="004C4D2E" w:rsidRPr="6D8B429A">
        <w:rPr>
          <w:sz w:val="22"/>
          <w:szCs w:val="22"/>
        </w:rPr>
        <w:t xml:space="preserve"> </w:t>
      </w:r>
      <w:r w:rsidR="00B909C5" w:rsidRPr="6D8B429A">
        <w:rPr>
          <w:sz w:val="22"/>
          <w:szCs w:val="22"/>
        </w:rPr>
        <w:t xml:space="preserve">to lower costs internally. In 2021, </w:t>
      </w:r>
      <w:r w:rsidR="0015208F" w:rsidRPr="6D8B429A">
        <w:rPr>
          <w:sz w:val="22"/>
          <w:szCs w:val="22"/>
        </w:rPr>
        <w:t xml:space="preserve">per enrollee </w:t>
      </w:r>
      <w:r w:rsidR="00B909C5" w:rsidRPr="6D8B429A">
        <w:rPr>
          <w:sz w:val="22"/>
          <w:szCs w:val="22"/>
        </w:rPr>
        <w:t xml:space="preserve">gross margins </w:t>
      </w:r>
      <w:r w:rsidR="00185B4F" w:rsidRPr="6D8B429A">
        <w:rPr>
          <w:sz w:val="22"/>
          <w:szCs w:val="22"/>
        </w:rPr>
        <w:t xml:space="preserve">for MA plans </w:t>
      </w:r>
      <w:r w:rsidR="00295562" w:rsidRPr="6D8B429A">
        <w:rPr>
          <w:sz w:val="22"/>
          <w:szCs w:val="22"/>
        </w:rPr>
        <w:t>were</w:t>
      </w:r>
      <w:r w:rsidR="00B909C5" w:rsidRPr="6D8B429A">
        <w:rPr>
          <w:sz w:val="22"/>
          <w:szCs w:val="22"/>
        </w:rPr>
        <w:t xml:space="preserve"> </w:t>
      </w:r>
      <w:r w:rsidR="00E35F8A" w:rsidRPr="6D8B429A">
        <w:rPr>
          <w:sz w:val="22"/>
          <w:szCs w:val="22"/>
        </w:rPr>
        <w:t xml:space="preserve">more than </w:t>
      </w:r>
      <w:r w:rsidR="00B909C5" w:rsidRPr="6D8B429A">
        <w:rPr>
          <w:sz w:val="22"/>
          <w:szCs w:val="22"/>
        </w:rPr>
        <w:t xml:space="preserve">200% higher than </w:t>
      </w:r>
      <w:r w:rsidR="00EC1133" w:rsidRPr="6D8B429A">
        <w:rPr>
          <w:sz w:val="22"/>
          <w:szCs w:val="22"/>
        </w:rPr>
        <w:t xml:space="preserve">plans offered </w:t>
      </w:r>
      <w:r w:rsidR="00B909C5" w:rsidRPr="6D8B429A">
        <w:rPr>
          <w:sz w:val="22"/>
          <w:szCs w:val="22"/>
        </w:rPr>
        <w:t>in the individual/non-group market, the fully insured group/employer market, and the Medicaid managed care market.</w:t>
      </w:r>
      <w:r w:rsidR="00B909C5" w:rsidRPr="6D8B429A">
        <w:rPr>
          <w:rStyle w:val="FootnoteReference"/>
          <w:sz w:val="22"/>
          <w:szCs w:val="22"/>
        </w:rPr>
        <w:footnoteReference w:id="20"/>
      </w:r>
    </w:p>
    <w:p w14:paraId="4F8D9254" w14:textId="4375D283" w:rsidR="00C917F1" w:rsidRPr="00DC01CC" w:rsidRDefault="2870024D" w:rsidP="00573435">
      <w:pPr>
        <w:spacing w:after="240" w:line="276" w:lineRule="auto"/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>P</w:t>
      </w:r>
      <w:r w:rsidR="00992AC1" w:rsidRPr="00DC01CC">
        <w:rPr>
          <w:rFonts w:cstheme="minorHAnsi"/>
          <w:sz w:val="22"/>
          <w:szCs w:val="22"/>
        </w:rPr>
        <w:t xml:space="preserve">ayment rate modeling </w:t>
      </w:r>
      <w:r w:rsidR="000B222A">
        <w:rPr>
          <w:rFonts w:cstheme="minorHAnsi"/>
          <w:sz w:val="22"/>
          <w:szCs w:val="22"/>
        </w:rPr>
        <w:t xml:space="preserve">reinforces that </w:t>
      </w:r>
      <w:r w:rsidR="00853EE8" w:rsidRPr="00DC01CC">
        <w:rPr>
          <w:rFonts w:eastAsia="Calibri" w:cstheme="minorHAnsi"/>
          <w:sz w:val="22"/>
          <w:szCs w:val="22"/>
        </w:rPr>
        <w:t>any cost</w:t>
      </w:r>
      <w:r w:rsidR="000B222A">
        <w:rPr>
          <w:rFonts w:eastAsia="Calibri" w:cstheme="minorHAnsi"/>
          <w:sz w:val="22"/>
          <w:szCs w:val="22"/>
        </w:rPr>
        <w:t xml:space="preserve">-shifting to </w:t>
      </w:r>
      <w:r w:rsidR="00853EE8" w:rsidRPr="00DC01CC">
        <w:rPr>
          <w:rFonts w:eastAsia="Calibri" w:cstheme="minorHAnsi"/>
          <w:sz w:val="22"/>
          <w:szCs w:val="22"/>
        </w:rPr>
        <w:t>enrollees is entirely the</w:t>
      </w:r>
      <w:r w:rsidR="000B222A">
        <w:rPr>
          <w:rFonts w:eastAsia="Calibri" w:cstheme="minorHAnsi"/>
          <w:sz w:val="22"/>
          <w:szCs w:val="22"/>
        </w:rPr>
        <w:t xml:space="preserve"> plan’s </w:t>
      </w:r>
      <w:r w:rsidR="00853EE8" w:rsidRPr="00DC01CC">
        <w:rPr>
          <w:rFonts w:eastAsia="Calibri" w:cstheme="minorHAnsi"/>
          <w:sz w:val="22"/>
          <w:szCs w:val="22"/>
        </w:rPr>
        <w:t>choice. They could</w:t>
      </w:r>
      <w:r w:rsidR="007355FE" w:rsidRPr="00DC01CC">
        <w:rPr>
          <w:rFonts w:eastAsia="Calibri" w:cstheme="minorHAnsi"/>
          <w:sz w:val="22"/>
          <w:szCs w:val="22"/>
        </w:rPr>
        <w:t xml:space="preserve"> </w:t>
      </w:r>
      <w:r w:rsidR="00F72C04" w:rsidRPr="00DC01CC">
        <w:rPr>
          <w:rFonts w:eastAsia="Calibri" w:cstheme="minorHAnsi"/>
          <w:sz w:val="22"/>
          <w:szCs w:val="22"/>
        </w:rPr>
        <w:t xml:space="preserve">instead </w:t>
      </w:r>
      <w:r w:rsidR="007355FE" w:rsidRPr="00DC01CC">
        <w:rPr>
          <w:rFonts w:eastAsia="Calibri" w:cstheme="minorHAnsi"/>
          <w:sz w:val="22"/>
          <w:szCs w:val="22"/>
        </w:rPr>
        <w:t>operate within th</w:t>
      </w:r>
      <w:r w:rsidR="00A518E0" w:rsidRPr="00DC01CC">
        <w:rPr>
          <w:rFonts w:eastAsia="Calibri" w:cstheme="minorHAnsi"/>
          <w:sz w:val="22"/>
          <w:szCs w:val="22"/>
        </w:rPr>
        <w:t>e</w:t>
      </w:r>
      <w:r w:rsidR="007355FE" w:rsidRPr="00DC01CC">
        <w:rPr>
          <w:rFonts w:eastAsia="Calibri" w:cstheme="minorHAnsi"/>
          <w:sz w:val="22"/>
          <w:szCs w:val="22"/>
        </w:rPr>
        <w:t xml:space="preserve"> increa</w:t>
      </w:r>
      <w:r w:rsidR="00A518E0" w:rsidRPr="00DC01CC">
        <w:rPr>
          <w:rFonts w:eastAsia="Calibri" w:cstheme="minorHAnsi"/>
          <w:sz w:val="22"/>
          <w:szCs w:val="22"/>
        </w:rPr>
        <w:t>sed payment rate parameters, or</w:t>
      </w:r>
      <w:r w:rsidR="00F72C04" w:rsidRPr="00DC01CC">
        <w:rPr>
          <w:rFonts w:eastAsia="Calibri" w:cstheme="minorHAnsi"/>
          <w:sz w:val="22"/>
          <w:szCs w:val="22"/>
        </w:rPr>
        <w:t xml:space="preserve"> </w:t>
      </w:r>
      <w:r w:rsidR="008864FE" w:rsidRPr="00DC01CC">
        <w:rPr>
          <w:rFonts w:eastAsia="Calibri" w:cstheme="minorHAnsi"/>
          <w:sz w:val="22"/>
          <w:szCs w:val="22"/>
        </w:rPr>
        <w:t>achieve</w:t>
      </w:r>
      <w:r w:rsidR="00033E56" w:rsidRPr="00DC01CC">
        <w:rPr>
          <w:rFonts w:eastAsia="Calibri" w:cstheme="minorHAnsi"/>
          <w:sz w:val="22"/>
          <w:szCs w:val="22"/>
        </w:rPr>
        <w:t xml:space="preserve"> savings</w:t>
      </w:r>
      <w:r w:rsidR="008864FE" w:rsidRPr="00DC01CC">
        <w:rPr>
          <w:rFonts w:eastAsia="Calibri" w:cstheme="minorHAnsi"/>
          <w:sz w:val="22"/>
          <w:szCs w:val="22"/>
        </w:rPr>
        <w:t xml:space="preserve"> </w:t>
      </w:r>
      <w:r w:rsidR="003E4BC1" w:rsidRPr="00DC01CC">
        <w:rPr>
          <w:rFonts w:cstheme="minorHAnsi"/>
          <w:sz w:val="22"/>
          <w:szCs w:val="22"/>
        </w:rPr>
        <w:t>without significantly impacting access or benefits</w:t>
      </w:r>
      <w:r w:rsidR="008864FE" w:rsidRPr="00DC01CC">
        <w:rPr>
          <w:rFonts w:cstheme="minorHAnsi"/>
          <w:sz w:val="22"/>
          <w:szCs w:val="22"/>
        </w:rPr>
        <w:t xml:space="preserve">, such as </w:t>
      </w:r>
      <w:r w:rsidR="0019693A" w:rsidRPr="00DC01CC">
        <w:rPr>
          <w:rFonts w:cstheme="minorHAnsi"/>
          <w:sz w:val="22"/>
          <w:szCs w:val="22"/>
        </w:rPr>
        <w:t xml:space="preserve">by </w:t>
      </w:r>
      <w:r w:rsidR="008864FE" w:rsidRPr="00DC01CC">
        <w:rPr>
          <w:rFonts w:cstheme="minorHAnsi"/>
          <w:sz w:val="22"/>
          <w:szCs w:val="22"/>
        </w:rPr>
        <w:t xml:space="preserve">reducing </w:t>
      </w:r>
      <w:r w:rsidR="00F8622B" w:rsidRPr="00DC01CC">
        <w:rPr>
          <w:rFonts w:cstheme="minorHAnsi"/>
          <w:sz w:val="22"/>
          <w:szCs w:val="22"/>
        </w:rPr>
        <w:t xml:space="preserve">their disproportionately high </w:t>
      </w:r>
      <w:r w:rsidR="008864FE" w:rsidRPr="00DC01CC">
        <w:rPr>
          <w:rFonts w:cstheme="minorHAnsi"/>
          <w:sz w:val="22"/>
          <w:szCs w:val="22"/>
        </w:rPr>
        <w:t xml:space="preserve">profits or lowering </w:t>
      </w:r>
      <w:r w:rsidR="00F8622B" w:rsidRPr="00DC01CC">
        <w:rPr>
          <w:rFonts w:cstheme="minorHAnsi"/>
          <w:sz w:val="22"/>
          <w:szCs w:val="22"/>
        </w:rPr>
        <w:t xml:space="preserve">their </w:t>
      </w:r>
      <w:r w:rsidR="008864FE" w:rsidRPr="00DC01CC">
        <w:rPr>
          <w:rFonts w:cstheme="minorHAnsi"/>
          <w:sz w:val="22"/>
          <w:szCs w:val="22"/>
        </w:rPr>
        <w:t>administrative costs</w:t>
      </w:r>
      <w:r w:rsidR="003E4BC1" w:rsidRPr="00DC01CC">
        <w:rPr>
          <w:rFonts w:cstheme="minorHAnsi"/>
          <w:sz w:val="22"/>
          <w:szCs w:val="22"/>
        </w:rPr>
        <w:t>.</w:t>
      </w:r>
      <w:r w:rsidR="003E4BC1" w:rsidRPr="00DC01CC">
        <w:rPr>
          <w:rStyle w:val="FootnoteReference"/>
          <w:rFonts w:cstheme="minorHAnsi"/>
          <w:sz w:val="22"/>
          <w:szCs w:val="22"/>
        </w:rPr>
        <w:footnoteReference w:id="21"/>
      </w:r>
      <w:r w:rsidR="5D756438" w:rsidRPr="00DC01CC">
        <w:rPr>
          <w:rStyle w:val="FootnoteReference"/>
          <w:rFonts w:cstheme="minorHAnsi"/>
          <w:sz w:val="22"/>
          <w:szCs w:val="22"/>
        </w:rPr>
        <w:t xml:space="preserve"> </w:t>
      </w:r>
      <w:r w:rsidR="00C917F1" w:rsidRPr="00DC01CC">
        <w:rPr>
          <w:rFonts w:cstheme="minorHAnsi"/>
          <w:sz w:val="22"/>
          <w:szCs w:val="22"/>
        </w:rPr>
        <w:t xml:space="preserve">Past plan behaviors, including in response to the Affordable Care Act’s </w:t>
      </w:r>
      <w:r w:rsidR="006B7A04" w:rsidRPr="00DC01CC">
        <w:rPr>
          <w:rFonts w:cstheme="minorHAnsi"/>
          <w:sz w:val="22"/>
          <w:szCs w:val="22"/>
        </w:rPr>
        <w:t xml:space="preserve">(ACA) comparatively severe </w:t>
      </w:r>
      <w:r w:rsidR="00C917F1" w:rsidRPr="00DC01CC">
        <w:rPr>
          <w:rFonts w:cstheme="minorHAnsi"/>
          <w:sz w:val="22"/>
          <w:szCs w:val="22"/>
        </w:rPr>
        <w:t xml:space="preserve">payment reductions, prove this </w:t>
      </w:r>
      <w:r w:rsidR="2DD18466" w:rsidRPr="00DC01CC">
        <w:rPr>
          <w:rFonts w:cstheme="minorHAnsi"/>
          <w:sz w:val="22"/>
          <w:szCs w:val="22"/>
        </w:rPr>
        <w:t>point</w:t>
      </w:r>
      <w:r w:rsidR="109221F7" w:rsidRPr="00DC01CC">
        <w:rPr>
          <w:rFonts w:cstheme="minorHAnsi"/>
          <w:sz w:val="22"/>
          <w:szCs w:val="22"/>
        </w:rPr>
        <w:t>.</w:t>
      </w:r>
      <w:r w:rsidR="00C917F1" w:rsidRPr="00DC01CC">
        <w:rPr>
          <w:rFonts w:cstheme="minorHAnsi"/>
          <w:sz w:val="22"/>
          <w:szCs w:val="22"/>
        </w:rPr>
        <w:t xml:space="preserve"> Despite </w:t>
      </w:r>
      <w:r w:rsidR="323097DC" w:rsidRPr="00DC01CC">
        <w:rPr>
          <w:rFonts w:cstheme="minorHAnsi"/>
          <w:sz w:val="22"/>
          <w:szCs w:val="22"/>
        </w:rPr>
        <w:t xml:space="preserve">fears that </w:t>
      </w:r>
      <w:r w:rsidR="00322192">
        <w:rPr>
          <w:rFonts w:cstheme="minorHAnsi"/>
          <w:sz w:val="22"/>
          <w:szCs w:val="22"/>
        </w:rPr>
        <w:t xml:space="preserve">MA </w:t>
      </w:r>
      <w:r w:rsidR="323097DC" w:rsidRPr="00DC01CC">
        <w:rPr>
          <w:rFonts w:cstheme="minorHAnsi"/>
          <w:sz w:val="22"/>
          <w:szCs w:val="22"/>
        </w:rPr>
        <w:t>plans would</w:t>
      </w:r>
      <w:r w:rsidR="00C917F1" w:rsidRPr="00DC01CC">
        <w:rPr>
          <w:rFonts w:cstheme="minorHAnsi"/>
          <w:sz w:val="22"/>
          <w:szCs w:val="22"/>
        </w:rPr>
        <w:t xml:space="preserve"> </w:t>
      </w:r>
      <w:r w:rsidR="004C30B1" w:rsidRPr="00DC01CC">
        <w:rPr>
          <w:rFonts w:cstheme="minorHAnsi"/>
          <w:sz w:val="22"/>
          <w:szCs w:val="22"/>
        </w:rPr>
        <w:t>reduce</w:t>
      </w:r>
      <w:r w:rsidR="00C917F1" w:rsidRPr="00DC01CC">
        <w:rPr>
          <w:rFonts w:cstheme="minorHAnsi"/>
          <w:sz w:val="22"/>
          <w:szCs w:val="22"/>
        </w:rPr>
        <w:t xml:space="preserve"> benefits </w:t>
      </w:r>
      <w:r w:rsidR="4FA3BD84" w:rsidRPr="00DC01CC">
        <w:rPr>
          <w:rFonts w:cstheme="minorHAnsi"/>
          <w:sz w:val="22"/>
          <w:szCs w:val="22"/>
        </w:rPr>
        <w:t>or</w:t>
      </w:r>
      <w:r w:rsidR="00C917F1" w:rsidRPr="00DC01CC">
        <w:rPr>
          <w:rFonts w:cstheme="minorHAnsi"/>
          <w:sz w:val="22"/>
          <w:szCs w:val="22"/>
        </w:rPr>
        <w:t xml:space="preserve"> leave the market, the post ACA period </w:t>
      </w:r>
      <w:r w:rsidR="00B056D1">
        <w:rPr>
          <w:rFonts w:cstheme="minorHAnsi"/>
          <w:sz w:val="22"/>
          <w:szCs w:val="22"/>
        </w:rPr>
        <w:t xml:space="preserve">was one </w:t>
      </w:r>
      <w:r w:rsidR="00C917F1" w:rsidRPr="00DC01CC">
        <w:rPr>
          <w:rFonts w:cstheme="minorHAnsi"/>
          <w:sz w:val="22"/>
          <w:szCs w:val="22"/>
        </w:rPr>
        <w:t>of robust and sustained</w:t>
      </w:r>
      <w:r w:rsidR="00322192">
        <w:rPr>
          <w:rFonts w:cstheme="minorHAnsi"/>
          <w:sz w:val="22"/>
          <w:szCs w:val="22"/>
        </w:rPr>
        <w:t xml:space="preserve"> </w:t>
      </w:r>
      <w:r w:rsidR="00AD4AA3">
        <w:rPr>
          <w:rFonts w:cstheme="minorHAnsi"/>
          <w:sz w:val="22"/>
          <w:szCs w:val="22"/>
        </w:rPr>
        <w:t>expansion</w:t>
      </w:r>
      <w:r w:rsidR="00C917F1" w:rsidRPr="00DC01CC">
        <w:rPr>
          <w:rFonts w:cstheme="minorHAnsi"/>
          <w:sz w:val="22"/>
          <w:szCs w:val="22"/>
        </w:rPr>
        <w:t>.</w:t>
      </w:r>
      <w:r w:rsidR="00C917F1" w:rsidRPr="00DC01CC">
        <w:rPr>
          <w:rStyle w:val="FootnoteReference"/>
          <w:rFonts w:cstheme="minorHAnsi"/>
          <w:sz w:val="22"/>
          <w:szCs w:val="22"/>
        </w:rPr>
        <w:footnoteReference w:id="22"/>
      </w:r>
    </w:p>
    <w:p w14:paraId="350B3019" w14:textId="35259422" w:rsidR="00322192" w:rsidRPr="00EA008B" w:rsidRDefault="05F809B7" w:rsidP="6D8B429A">
      <w:pPr>
        <w:spacing w:after="240" w:line="276" w:lineRule="auto"/>
        <w:rPr>
          <w:sz w:val="22"/>
          <w:szCs w:val="22"/>
        </w:rPr>
      </w:pPr>
      <w:r w:rsidRPr="1229E8E7">
        <w:rPr>
          <w:sz w:val="22"/>
          <w:szCs w:val="22"/>
        </w:rPr>
        <w:t xml:space="preserve">Industry claims that they cannot provide a competitive product without being overpaid is </w:t>
      </w:r>
      <w:r w:rsidR="3FAA6E35" w:rsidRPr="1229E8E7">
        <w:rPr>
          <w:sz w:val="22"/>
          <w:szCs w:val="22"/>
        </w:rPr>
        <w:t xml:space="preserve">either </w:t>
      </w:r>
      <w:r w:rsidRPr="1229E8E7">
        <w:rPr>
          <w:sz w:val="22"/>
          <w:szCs w:val="22"/>
        </w:rPr>
        <w:t>a</w:t>
      </w:r>
      <w:r w:rsidR="311CAB0C" w:rsidRPr="1229E8E7">
        <w:rPr>
          <w:sz w:val="22"/>
          <w:szCs w:val="22"/>
        </w:rPr>
        <w:t xml:space="preserve"> startling</w:t>
      </w:r>
      <w:r w:rsidRPr="1229E8E7">
        <w:rPr>
          <w:sz w:val="22"/>
          <w:szCs w:val="22"/>
        </w:rPr>
        <w:t xml:space="preserve"> </w:t>
      </w:r>
      <w:r w:rsidR="5F245B3D" w:rsidRPr="1229E8E7">
        <w:rPr>
          <w:sz w:val="22"/>
          <w:szCs w:val="22"/>
        </w:rPr>
        <w:t>admission of their own inefficiencies</w:t>
      </w:r>
      <w:r w:rsidR="00C8247C" w:rsidRPr="1229E8E7">
        <w:rPr>
          <w:sz w:val="22"/>
          <w:szCs w:val="22"/>
        </w:rPr>
        <w:t xml:space="preserve">, </w:t>
      </w:r>
      <w:r w:rsidR="26759231" w:rsidRPr="1229E8E7">
        <w:rPr>
          <w:sz w:val="22"/>
          <w:szCs w:val="22"/>
        </w:rPr>
        <w:t>a ploy to pad profits</w:t>
      </w:r>
      <w:r w:rsidR="3975D99E" w:rsidRPr="1229E8E7">
        <w:rPr>
          <w:sz w:val="22"/>
          <w:szCs w:val="22"/>
        </w:rPr>
        <w:t>, or both</w:t>
      </w:r>
      <w:r w:rsidR="6AD52D26" w:rsidRPr="1229E8E7">
        <w:rPr>
          <w:sz w:val="22"/>
          <w:szCs w:val="22"/>
        </w:rPr>
        <w:t>.</w:t>
      </w:r>
      <w:r w:rsidR="238098D7" w:rsidRPr="1229E8E7">
        <w:rPr>
          <w:sz w:val="22"/>
          <w:szCs w:val="22"/>
        </w:rPr>
        <w:t xml:space="preserve"> </w:t>
      </w:r>
      <w:r w:rsidR="00F62EFF" w:rsidRPr="1229E8E7">
        <w:rPr>
          <w:sz w:val="22"/>
          <w:szCs w:val="22"/>
        </w:rPr>
        <w:t>We urge CMS not to be swayed by this rhetoric</w:t>
      </w:r>
      <w:r w:rsidR="00322192" w:rsidRPr="1229E8E7">
        <w:rPr>
          <w:sz w:val="22"/>
          <w:szCs w:val="22"/>
        </w:rPr>
        <w:t xml:space="preserve"> and to move forward with needed reforms</w:t>
      </w:r>
      <w:r w:rsidR="00EA008B" w:rsidRPr="1229E8E7">
        <w:rPr>
          <w:sz w:val="22"/>
          <w:szCs w:val="22"/>
        </w:rPr>
        <w:t xml:space="preserve">; </w:t>
      </w:r>
      <w:r w:rsidR="00CF17A6" w:rsidRPr="1229E8E7">
        <w:rPr>
          <w:sz w:val="22"/>
          <w:szCs w:val="22"/>
        </w:rPr>
        <w:t>t</w:t>
      </w:r>
      <w:r w:rsidR="00322192" w:rsidRPr="1229E8E7">
        <w:rPr>
          <w:sz w:val="22"/>
          <w:szCs w:val="22"/>
        </w:rPr>
        <w:t xml:space="preserve">he current system </w:t>
      </w:r>
      <w:r w:rsidR="00EA008B" w:rsidRPr="1229E8E7">
        <w:rPr>
          <w:sz w:val="22"/>
          <w:szCs w:val="22"/>
        </w:rPr>
        <w:t>is simply not s</w:t>
      </w:r>
      <w:r w:rsidR="00322192" w:rsidRPr="1229E8E7">
        <w:rPr>
          <w:sz w:val="22"/>
          <w:szCs w:val="22"/>
        </w:rPr>
        <w:t>ustainable</w:t>
      </w:r>
      <w:r w:rsidR="00EA008B" w:rsidRPr="1229E8E7">
        <w:rPr>
          <w:sz w:val="22"/>
          <w:szCs w:val="22"/>
        </w:rPr>
        <w:t xml:space="preserve">. </w:t>
      </w:r>
      <w:r w:rsidR="238098D7" w:rsidRPr="1229E8E7">
        <w:rPr>
          <w:sz w:val="22"/>
          <w:szCs w:val="22"/>
        </w:rPr>
        <w:t xml:space="preserve">The </w:t>
      </w:r>
      <w:r w:rsidR="00390F9C" w:rsidRPr="1229E8E7">
        <w:rPr>
          <w:sz w:val="22"/>
          <w:szCs w:val="22"/>
        </w:rPr>
        <w:t>pr</w:t>
      </w:r>
      <w:r w:rsidR="001A0D44" w:rsidRPr="1229E8E7">
        <w:rPr>
          <w:sz w:val="22"/>
          <w:szCs w:val="22"/>
        </w:rPr>
        <w:t>e</w:t>
      </w:r>
      <w:r w:rsidR="00390F9C" w:rsidRPr="1229E8E7">
        <w:rPr>
          <w:sz w:val="22"/>
          <w:szCs w:val="22"/>
        </w:rPr>
        <w:t xml:space="preserve">mise </w:t>
      </w:r>
      <w:r w:rsidR="243B8AA2" w:rsidRPr="1229E8E7">
        <w:rPr>
          <w:sz w:val="22"/>
          <w:szCs w:val="22"/>
        </w:rPr>
        <w:t>behind</w:t>
      </w:r>
      <w:r w:rsidR="00390F9C" w:rsidRPr="1229E8E7">
        <w:rPr>
          <w:sz w:val="22"/>
          <w:szCs w:val="22"/>
        </w:rPr>
        <w:t xml:space="preserve"> </w:t>
      </w:r>
      <w:r w:rsidR="238098D7" w:rsidRPr="1229E8E7">
        <w:rPr>
          <w:sz w:val="22"/>
          <w:szCs w:val="22"/>
        </w:rPr>
        <w:t xml:space="preserve">MA </w:t>
      </w:r>
      <w:r w:rsidR="58CB4968" w:rsidRPr="1229E8E7">
        <w:rPr>
          <w:sz w:val="22"/>
          <w:szCs w:val="22"/>
        </w:rPr>
        <w:t>w</w:t>
      </w:r>
      <w:r w:rsidR="50A2E0FC" w:rsidRPr="1229E8E7">
        <w:rPr>
          <w:sz w:val="22"/>
          <w:szCs w:val="22"/>
        </w:rPr>
        <w:t>as</w:t>
      </w:r>
      <w:r w:rsidR="238098D7" w:rsidRPr="1229E8E7">
        <w:rPr>
          <w:sz w:val="22"/>
          <w:szCs w:val="22"/>
        </w:rPr>
        <w:t xml:space="preserve"> its</w:t>
      </w:r>
      <w:r w:rsidR="00FE6C44" w:rsidRPr="1229E8E7">
        <w:rPr>
          <w:sz w:val="22"/>
          <w:szCs w:val="22"/>
        </w:rPr>
        <w:t xml:space="preserve"> potential</w:t>
      </w:r>
      <w:r w:rsidRPr="1229E8E7" w:rsidDel="05F809B7">
        <w:rPr>
          <w:sz w:val="22"/>
          <w:szCs w:val="22"/>
        </w:rPr>
        <w:t xml:space="preserve"> </w:t>
      </w:r>
      <w:r w:rsidR="238098D7" w:rsidRPr="1229E8E7">
        <w:rPr>
          <w:sz w:val="22"/>
          <w:szCs w:val="22"/>
        </w:rPr>
        <w:t xml:space="preserve">to save Medicare </w:t>
      </w:r>
      <w:r w:rsidR="00D8595D" w:rsidRPr="1229E8E7">
        <w:rPr>
          <w:sz w:val="22"/>
          <w:szCs w:val="22"/>
        </w:rPr>
        <w:t>dollars</w:t>
      </w:r>
      <w:r w:rsidR="4EF5898A" w:rsidRPr="1229E8E7">
        <w:rPr>
          <w:sz w:val="22"/>
          <w:szCs w:val="22"/>
        </w:rPr>
        <w:t>.</w:t>
      </w:r>
      <w:r w:rsidR="6A411623" w:rsidRPr="1229E8E7">
        <w:rPr>
          <w:sz w:val="22"/>
          <w:szCs w:val="22"/>
        </w:rPr>
        <w:t xml:space="preserve"> </w:t>
      </w:r>
      <w:r w:rsidR="00BC2E98" w:rsidRPr="1229E8E7">
        <w:rPr>
          <w:sz w:val="22"/>
          <w:szCs w:val="22"/>
        </w:rPr>
        <w:t>But</w:t>
      </w:r>
      <w:r w:rsidR="00322192" w:rsidRPr="1229E8E7">
        <w:rPr>
          <w:sz w:val="22"/>
          <w:szCs w:val="22"/>
        </w:rPr>
        <w:t xml:space="preserve"> it never has</w:t>
      </w:r>
      <w:r w:rsidR="1032E526" w:rsidRPr="1229E8E7">
        <w:rPr>
          <w:sz w:val="22"/>
          <w:szCs w:val="22"/>
        </w:rPr>
        <w:t xml:space="preserve">. </w:t>
      </w:r>
      <w:r w:rsidR="787DDE29" w:rsidRPr="1229E8E7">
        <w:rPr>
          <w:sz w:val="22"/>
          <w:szCs w:val="22"/>
        </w:rPr>
        <w:t>I</w:t>
      </w:r>
      <w:r w:rsidR="3ECFBADD" w:rsidRPr="1229E8E7">
        <w:rPr>
          <w:sz w:val="22"/>
          <w:szCs w:val="22"/>
        </w:rPr>
        <w:t xml:space="preserve">nstead, </w:t>
      </w:r>
      <w:r w:rsidR="00322192" w:rsidRPr="1229E8E7">
        <w:rPr>
          <w:sz w:val="22"/>
          <w:szCs w:val="22"/>
        </w:rPr>
        <w:t>MA</w:t>
      </w:r>
      <w:r w:rsidR="692D4756" w:rsidRPr="1229E8E7">
        <w:rPr>
          <w:sz w:val="22"/>
          <w:szCs w:val="22"/>
        </w:rPr>
        <w:t xml:space="preserve"> costs more, both per enrollee and </w:t>
      </w:r>
      <w:bookmarkStart w:id="9" w:name="_Int_5g86tKx3"/>
      <w:r w:rsidR="692D4756" w:rsidRPr="1229E8E7">
        <w:rPr>
          <w:sz w:val="22"/>
          <w:szCs w:val="22"/>
        </w:rPr>
        <w:t>in the aggregate</w:t>
      </w:r>
      <w:bookmarkEnd w:id="9"/>
      <w:r w:rsidR="00DD446C" w:rsidRPr="1229E8E7">
        <w:rPr>
          <w:sz w:val="22"/>
          <w:szCs w:val="22"/>
        </w:rPr>
        <w:t>,</w:t>
      </w:r>
      <w:r w:rsidR="003F3C08" w:rsidRPr="1229E8E7">
        <w:rPr>
          <w:sz w:val="22"/>
          <w:szCs w:val="22"/>
        </w:rPr>
        <w:t xml:space="preserve"> than Original Medicare</w:t>
      </w:r>
      <w:r w:rsidRPr="1229E8E7" w:rsidDel="05F809B7">
        <w:rPr>
          <w:sz w:val="22"/>
          <w:szCs w:val="22"/>
        </w:rPr>
        <w:t>.</w:t>
      </w:r>
      <w:r w:rsidRPr="1229E8E7">
        <w:rPr>
          <w:sz w:val="22"/>
          <w:szCs w:val="22"/>
          <w:vertAlign w:val="superscript"/>
        </w:rPr>
        <w:footnoteReference w:id="23"/>
      </w:r>
      <w:r w:rsidRPr="1229E8E7" w:rsidDel="05F809B7">
        <w:rPr>
          <w:rFonts w:eastAsia="Calibri"/>
          <w:sz w:val="22"/>
          <w:szCs w:val="22"/>
        </w:rPr>
        <w:t xml:space="preserve"> </w:t>
      </w:r>
      <w:r w:rsidR="00AD1CDC" w:rsidRPr="1229E8E7">
        <w:rPr>
          <w:rFonts w:eastAsia="Calibri"/>
          <w:sz w:val="22"/>
          <w:szCs w:val="22"/>
        </w:rPr>
        <w:t>W</w:t>
      </w:r>
      <w:r w:rsidR="002E65F3" w:rsidRPr="1229E8E7">
        <w:rPr>
          <w:rFonts w:eastAsia="Calibri"/>
          <w:sz w:val="22"/>
          <w:szCs w:val="22"/>
        </w:rPr>
        <w:t>ithout intervention</w:t>
      </w:r>
      <w:r w:rsidR="00AD1CDC" w:rsidRPr="1229E8E7">
        <w:rPr>
          <w:rFonts w:eastAsia="Calibri"/>
          <w:sz w:val="22"/>
          <w:szCs w:val="22"/>
        </w:rPr>
        <w:t>,</w:t>
      </w:r>
      <w:r w:rsidR="002E65F3" w:rsidRPr="1229E8E7">
        <w:rPr>
          <w:rFonts w:eastAsia="Calibri"/>
          <w:sz w:val="22"/>
          <w:szCs w:val="22"/>
        </w:rPr>
        <w:t xml:space="preserve"> </w:t>
      </w:r>
      <w:r w:rsidR="009B3DD7" w:rsidRPr="1229E8E7">
        <w:rPr>
          <w:rFonts w:eastAsia="Calibri"/>
          <w:sz w:val="22"/>
          <w:szCs w:val="22"/>
        </w:rPr>
        <w:t>this will remain true</w:t>
      </w:r>
      <w:r w:rsidR="00805495" w:rsidRPr="1229E8E7">
        <w:rPr>
          <w:rFonts w:eastAsia="Calibri"/>
          <w:sz w:val="22"/>
          <w:szCs w:val="22"/>
        </w:rPr>
        <w:t xml:space="preserve">, and </w:t>
      </w:r>
      <w:r w:rsidR="05DFFD45" w:rsidRPr="1229E8E7">
        <w:rPr>
          <w:rFonts w:eastAsia="Calibri"/>
          <w:sz w:val="22"/>
          <w:szCs w:val="22"/>
        </w:rPr>
        <w:t>the</w:t>
      </w:r>
      <w:r w:rsidR="6881E837" w:rsidRPr="1229E8E7">
        <w:rPr>
          <w:rFonts w:eastAsia="Calibri"/>
          <w:sz w:val="22"/>
          <w:szCs w:val="22"/>
        </w:rPr>
        <w:t xml:space="preserve"> </w:t>
      </w:r>
      <w:r w:rsidR="00805495" w:rsidRPr="1229E8E7">
        <w:rPr>
          <w:rFonts w:eastAsia="Calibri"/>
          <w:sz w:val="22"/>
          <w:szCs w:val="22"/>
        </w:rPr>
        <w:t xml:space="preserve">harmful cycles </w:t>
      </w:r>
      <w:r w:rsidR="00F62EFF" w:rsidRPr="1229E8E7">
        <w:rPr>
          <w:rFonts w:eastAsia="Calibri"/>
          <w:sz w:val="22"/>
          <w:szCs w:val="22"/>
        </w:rPr>
        <w:t xml:space="preserve">it perpetuates </w:t>
      </w:r>
      <w:r w:rsidR="00805495" w:rsidRPr="1229E8E7">
        <w:rPr>
          <w:rFonts w:eastAsia="Calibri"/>
          <w:sz w:val="22"/>
          <w:szCs w:val="22"/>
        </w:rPr>
        <w:t>will</w:t>
      </w:r>
      <w:r w:rsidR="0016222C" w:rsidRPr="1229E8E7">
        <w:rPr>
          <w:rFonts w:eastAsia="Calibri"/>
          <w:sz w:val="22"/>
          <w:szCs w:val="22"/>
        </w:rPr>
        <w:t xml:space="preserve"> continue</w:t>
      </w:r>
      <w:r w:rsidR="00CF17A6" w:rsidRPr="1229E8E7">
        <w:rPr>
          <w:rFonts w:eastAsia="Calibri"/>
          <w:sz w:val="22"/>
          <w:szCs w:val="22"/>
        </w:rPr>
        <w:t xml:space="preserve">: </w:t>
      </w:r>
      <w:r w:rsidR="692D4756" w:rsidRPr="1229E8E7">
        <w:rPr>
          <w:rFonts w:eastAsia="Calibri"/>
          <w:sz w:val="22"/>
          <w:szCs w:val="22"/>
        </w:rPr>
        <w:t xml:space="preserve">MA enrollment growth will </w:t>
      </w:r>
      <w:r w:rsidR="0016222C" w:rsidRPr="1229E8E7">
        <w:rPr>
          <w:rFonts w:eastAsia="Calibri"/>
          <w:sz w:val="22"/>
          <w:szCs w:val="22"/>
        </w:rPr>
        <w:lastRenderedPageBreak/>
        <w:t xml:space="preserve">further </w:t>
      </w:r>
      <w:r w:rsidR="692D4756" w:rsidRPr="1229E8E7">
        <w:rPr>
          <w:rFonts w:eastAsia="Calibri"/>
          <w:sz w:val="22"/>
          <w:szCs w:val="22"/>
        </w:rPr>
        <w:t xml:space="preserve">increase Medicare spending, </w:t>
      </w:r>
      <w:r w:rsidR="1032E526" w:rsidRPr="1229E8E7">
        <w:rPr>
          <w:rFonts w:eastAsia="Calibri"/>
          <w:sz w:val="22"/>
          <w:szCs w:val="22"/>
        </w:rPr>
        <w:t>rais</w:t>
      </w:r>
      <w:r w:rsidR="0137C5F1" w:rsidRPr="1229E8E7">
        <w:rPr>
          <w:rFonts w:eastAsia="Calibri"/>
          <w:sz w:val="22"/>
          <w:szCs w:val="22"/>
        </w:rPr>
        <w:t>ing</w:t>
      </w:r>
      <w:r w:rsidR="692D4756" w:rsidRPr="1229E8E7">
        <w:rPr>
          <w:rFonts w:eastAsia="Calibri"/>
          <w:sz w:val="22"/>
          <w:szCs w:val="22"/>
        </w:rPr>
        <w:t xml:space="preserve"> Part B premiums and taxpayer costs</w:t>
      </w:r>
      <w:r w:rsidR="0016222C" w:rsidRPr="1229E8E7">
        <w:rPr>
          <w:rFonts w:eastAsia="Calibri"/>
          <w:sz w:val="22"/>
          <w:szCs w:val="22"/>
        </w:rPr>
        <w:t xml:space="preserve"> </w:t>
      </w:r>
      <w:r w:rsidR="00CC5F61" w:rsidRPr="1229E8E7">
        <w:rPr>
          <w:rFonts w:eastAsia="Calibri"/>
          <w:sz w:val="22"/>
          <w:szCs w:val="22"/>
        </w:rPr>
        <w:t xml:space="preserve">while </w:t>
      </w:r>
      <w:r w:rsidR="0016222C" w:rsidRPr="1229E8E7">
        <w:rPr>
          <w:rFonts w:eastAsia="Calibri"/>
          <w:sz w:val="22"/>
          <w:szCs w:val="22"/>
        </w:rPr>
        <w:t xml:space="preserve">worsening </w:t>
      </w:r>
      <w:r w:rsidR="692D4756" w:rsidRPr="1229E8E7">
        <w:rPr>
          <w:rFonts w:eastAsia="Calibri"/>
          <w:sz w:val="22"/>
          <w:szCs w:val="22"/>
        </w:rPr>
        <w:t>Medicare solvency challenges.</w:t>
      </w:r>
      <w:r w:rsidRPr="1229E8E7">
        <w:rPr>
          <w:rStyle w:val="FootnoteReference"/>
          <w:rFonts w:eastAsia="Calibri"/>
          <w:sz w:val="22"/>
          <w:szCs w:val="22"/>
        </w:rPr>
        <w:footnoteReference w:id="24"/>
      </w:r>
    </w:p>
    <w:p w14:paraId="6124C2B1" w14:textId="13994C8A" w:rsidR="000F3C1F" w:rsidRPr="00573435" w:rsidRDefault="000F3C1F" w:rsidP="00573435">
      <w:pPr>
        <w:spacing w:after="240" w:line="276" w:lineRule="auto"/>
        <w:rPr>
          <w:rFonts w:eastAsia="Calibri" w:cstheme="minorHAnsi"/>
          <w:sz w:val="22"/>
          <w:szCs w:val="22"/>
        </w:rPr>
      </w:pPr>
      <w:r w:rsidRPr="00573435">
        <w:rPr>
          <w:rFonts w:eastAsia="Calibri" w:cstheme="minorHAnsi"/>
          <w:sz w:val="22"/>
          <w:szCs w:val="22"/>
        </w:rPr>
        <w:t xml:space="preserve">As outlined below, </w:t>
      </w:r>
      <w:r w:rsidR="005C2987" w:rsidRPr="00573435">
        <w:rPr>
          <w:rFonts w:eastAsia="Calibri" w:cstheme="minorHAnsi"/>
          <w:sz w:val="22"/>
          <w:szCs w:val="22"/>
        </w:rPr>
        <w:t xml:space="preserve">the </w:t>
      </w:r>
      <w:r w:rsidRPr="00573435">
        <w:rPr>
          <w:rFonts w:eastAsia="Calibri" w:cstheme="minorHAnsi"/>
          <w:sz w:val="22"/>
          <w:szCs w:val="22"/>
        </w:rPr>
        <w:t>AN</w:t>
      </w:r>
      <w:r w:rsidR="005C2987" w:rsidRPr="00573435">
        <w:rPr>
          <w:rFonts w:eastAsia="Calibri" w:cstheme="minorHAnsi"/>
          <w:sz w:val="22"/>
          <w:szCs w:val="22"/>
        </w:rPr>
        <w:t>’s risk adjustment changes</w:t>
      </w:r>
      <w:r w:rsidRPr="00573435">
        <w:rPr>
          <w:rFonts w:eastAsia="Calibri" w:cstheme="minorHAnsi"/>
          <w:sz w:val="22"/>
          <w:szCs w:val="22"/>
        </w:rPr>
        <w:t xml:space="preserve"> </w:t>
      </w:r>
      <w:r w:rsidR="00035D3C" w:rsidRPr="00573435">
        <w:rPr>
          <w:rFonts w:eastAsia="Calibri" w:cstheme="minorHAnsi"/>
          <w:sz w:val="22"/>
          <w:szCs w:val="22"/>
        </w:rPr>
        <w:t xml:space="preserve">would begin to </w:t>
      </w:r>
      <w:r w:rsidR="00DE7D28" w:rsidRPr="00573435">
        <w:rPr>
          <w:rFonts w:eastAsia="Calibri" w:cstheme="minorHAnsi"/>
          <w:sz w:val="22"/>
          <w:szCs w:val="22"/>
        </w:rPr>
        <w:t xml:space="preserve">alter these entrenched patterns. </w:t>
      </w:r>
      <w:r w:rsidR="00035D3C" w:rsidRPr="00573435">
        <w:rPr>
          <w:rFonts w:eastAsia="Calibri" w:cstheme="minorHAnsi"/>
          <w:sz w:val="22"/>
          <w:szCs w:val="22"/>
        </w:rPr>
        <w:t>We support th</w:t>
      </w:r>
      <w:r w:rsidR="00DE7D28" w:rsidRPr="00573435">
        <w:rPr>
          <w:rFonts w:eastAsia="Calibri" w:cstheme="minorHAnsi"/>
          <w:sz w:val="22"/>
          <w:szCs w:val="22"/>
        </w:rPr>
        <w:t>o</w:t>
      </w:r>
      <w:r w:rsidR="00035D3C" w:rsidRPr="00573435">
        <w:rPr>
          <w:rFonts w:eastAsia="Calibri" w:cstheme="minorHAnsi"/>
          <w:sz w:val="22"/>
          <w:szCs w:val="22"/>
        </w:rPr>
        <w:t>se provisions</w:t>
      </w:r>
      <w:r w:rsidR="00DE7D28" w:rsidRPr="00573435">
        <w:rPr>
          <w:rFonts w:eastAsia="Calibri" w:cstheme="minorHAnsi"/>
          <w:sz w:val="22"/>
          <w:szCs w:val="22"/>
        </w:rPr>
        <w:t xml:space="preserve"> </w:t>
      </w:r>
      <w:r w:rsidR="00035D3C" w:rsidRPr="00573435">
        <w:rPr>
          <w:rFonts w:eastAsia="Calibri" w:cstheme="minorHAnsi"/>
          <w:sz w:val="22"/>
          <w:szCs w:val="22"/>
        </w:rPr>
        <w:t xml:space="preserve">and </w:t>
      </w:r>
      <w:r w:rsidR="00CF17A6" w:rsidRPr="00573435">
        <w:rPr>
          <w:rFonts w:eastAsia="Calibri" w:cstheme="minorHAnsi"/>
          <w:sz w:val="22"/>
          <w:szCs w:val="22"/>
        </w:rPr>
        <w:t>ask</w:t>
      </w:r>
      <w:r w:rsidR="00035D3C" w:rsidRPr="00573435">
        <w:rPr>
          <w:rFonts w:eastAsia="Calibri" w:cstheme="minorHAnsi"/>
          <w:sz w:val="22"/>
          <w:szCs w:val="22"/>
        </w:rPr>
        <w:t xml:space="preserve"> CMS to </w:t>
      </w:r>
      <w:r w:rsidR="00E3782A" w:rsidRPr="00573435">
        <w:rPr>
          <w:rFonts w:eastAsia="Calibri" w:cstheme="minorHAnsi"/>
          <w:sz w:val="22"/>
          <w:szCs w:val="22"/>
        </w:rPr>
        <w:t xml:space="preserve">strengthen </w:t>
      </w:r>
      <w:r w:rsidR="000E4DE7" w:rsidRPr="00573435">
        <w:rPr>
          <w:rFonts w:eastAsia="Calibri" w:cstheme="minorHAnsi"/>
          <w:sz w:val="22"/>
          <w:szCs w:val="22"/>
        </w:rPr>
        <w:t xml:space="preserve">those </w:t>
      </w:r>
      <w:r w:rsidR="005C2987" w:rsidRPr="00573435">
        <w:rPr>
          <w:rFonts w:eastAsia="Calibri" w:cstheme="minorHAnsi"/>
          <w:sz w:val="22"/>
          <w:szCs w:val="22"/>
        </w:rPr>
        <w:t xml:space="preserve">that fall short, </w:t>
      </w:r>
      <w:r w:rsidR="006E1B58" w:rsidRPr="00573435">
        <w:rPr>
          <w:rFonts w:eastAsia="Calibri" w:cstheme="minorHAnsi"/>
          <w:sz w:val="22"/>
          <w:szCs w:val="22"/>
        </w:rPr>
        <w:t xml:space="preserve">namely the agency’s application of the </w:t>
      </w:r>
      <w:r w:rsidR="15FE3338" w:rsidRPr="00573435">
        <w:rPr>
          <w:rFonts w:eastAsia="Calibri" w:cstheme="minorHAnsi"/>
          <w:sz w:val="22"/>
          <w:szCs w:val="22"/>
        </w:rPr>
        <w:t xml:space="preserve">statutory </w:t>
      </w:r>
      <w:r w:rsidR="006E1B58" w:rsidRPr="00573435">
        <w:rPr>
          <w:rFonts w:eastAsia="Calibri" w:cstheme="minorHAnsi"/>
          <w:sz w:val="22"/>
          <w:szCs w:val="22"/>
        </w:rPr>
        <w:t xml:space="preserve">minimum coding adjustment. </w:t>
      </w:r>
    </w:p>
    <w:p w14:paraId="5277A6B0" w14:textId="437708DD" w:rsidR="00853EE8" w:rsidRPr="00DC01CC" w:rsidRDefault="00853EE8" w:rsidP="00573435">
      <w:pPr>
        <w:spacing w:after="240" w:line="276" w:lineRule="auto"/>
        <w:rPr>
          <w:rFonts w:cstheme="minorHAnsi"/>
          <w:b/>
          <w:bCs/>
          <w:sz w:val="22"/>
          <w:szCs w:val="22"/>
        </w:rPr>
      </w:pPr>
      <w:r w:rsidRPr="00DC01CC">
        <w:rPr>
          <w:rFonts w:cstheme="minorHAnsi"/>
          <w:b/>
          <w:bCs/>
          <w:sz w:val="22"/>
          <w:szCs w:val="22"/>
        </w:rPr>
        <w:t xml:space="preserve">Risk Adjustment </w:t>
      </w:r>
    </w:p>
    <w:p w14:paraId="1C356DBA" w14:textId="109DEDA5" w:rsidR="005162DD" w:rsidRPr="00573435" w:rsidRDefault="005162DD" w:rsidP="00573435">
      <w:pPr>
        <w:spacing w:after="240" w:line="276" w:lineRule="auto"/>
        <w:rPr>
          <w:rFonts w:cstheme="minorHAnsi"/>
          <w:sz w:val="22"/>
          <w:szCs w:val="22"/>
        </w:rPr>
      </w:pPr>
      <w:r w:rsidRPr="00573435">
        <w:rPr>
          <w:rFonts w:cstheme="minorHAnsi"/>
          <w:sz w:val="22"/>
          <w:szCs w:val="22"/>
        </w:rPr>
        <w:t>CMS is legally required to update payments to MA plans each year to ensure they match expected enrollee health care costs. These determinations are made through a process known as “risk adjustment” and are based on</w:t>
      </w:r>
      <w:r w:rsidR="00AD4AA3" w:rsidRPr="00573435">
        <w:rPr>
          <w:rFonts w:cstheme="minorHAnsi"/>
          <w:sz w:val="22"/>
          <w:szCs w:val="22"/>
        </w:rPr>
        <w:t xml:space="preserve"> </w:t>
      </w:r>
      <w:r w:rsidR="06642F67" w:rsidRPr="00573435">
        <w:rPr>
          <w:rFonts w:cstheme="minorHAnsi"/>
          <w:sz w:val="22"/>
          <w:szCs w:val="22"/>
        </w:rPr>
        <w:t xml:space="preserve">diagnoses </w:t>
      </w:r>
      <w:r w:rsidRPr="00573435">
        <w:rPr>
          <w:rFonts w:cstheme="minorHAnsi"/>
          <w:sz w:val="22"/>
          <w:szCs w:val="22"/>
        </w:rPr>
        <w:t xml:space="preserve">and demographic characteristics. CMS routinely </w:t>
      </w:r>
      <w:r w:rsidR="00AD4AA3" w:rsidRPr="00573435">
        <w:rPr>
          <w:rFonts w:cstheme="minorHAnsi"/>
          <w:sz w:val="22"/>
          <w:szCs w:val="22"/>
        </w:rPr>
        <w:t xml:space="preserve">revises </w:t>
      </w:r>
      <w:r w:rsidRPr="00573435">
        <w:rPr>
          <w:rFonts w:cstheme="minorHAnsi"/>
          <w:sz w:val="22"/>
          <w:szCs w:val="22"/>
        </w:rPr>
        <w:t xml:space="preserve">the </w:t>
      </w:r>
      <w:r w:rsidR="00AD4AA3" w:rsidRPr="00573435">
        <w:rPr>
          <w:rFonts w:cstheme="minorHAnsi"/>
          <w:sz w:val="22"/>
          <w:szCs w:val="22"/>
        </w:rPr>
        <w:t xml:space="preserve">underlying </w:t>
      </w:r>
      <w:r w:rsidRPr="00573435">
        <w:rPr>
          <w:rFonts w:cstheme="minorHAnsi"/>
          <w:sz w:val="22"/>
          <w:szCs w:val="22"/>
        </w:rPr>
        <w:t>model to improve payment accuracy.</w:t>
      </w:r>
    </w:p>
    <w:p w14:paraId="0BD0C5CE" w14:textId="2D73F03D" w:rsidR="00BD2E4E" w:rsidRPr="00DC01CC" w:rsidRDefault="005162DD" w:rsidP="6D8B429A">
      <w:pPr>
        <w:spacing w:after="240" w:line="276" w:lineRule="auto"/>
        <w:rPr>
          <w:sz w:val="22"/>
          <w:szCs w:val="22"/>
        </w:rPr>
      </w:pPr>
      <w:r w:rsidRPr="1229E8E7">
        <w:rPr>
          <w:sz w:val="22"/>
          <w:szCs w:val="22"/>
        </w:rPr>
        <w:t>Th</w:t>
      </w:r>
      <w:r w:rsidR="7EE00C43" w:rsidRPr="1229E8E7">
        <w:rPr>
          <w:sz w:val="22"/>
          <w:szCs w:val="22"/>
        </w:rPr>
        <w:t>is</w:t>
      </w:r>
      <w:r w:rsidRPr="1229E8E7">
        <w:rPr>
          <w:sz w:val="22"/>
          <w:szCs w:val="22"/>
        </w:rPr>
        <w:t xml:space="preserve"> AN would do so in several commonsense ways. It would transition the model to a diagnostic classification system (known as ICD-10) that has been in place since 2015 and long-used by other programs, such as the Affordable Care Act market and Medicare Part D. It would also link the model to more recent data; it </w:t>
      </w:r>
      <w:r w:rsidR="00EA008B" w:rsidRPr="1229E8E7">
        <w:rPr>
          <w:sz w:val="22"/>
          <w:szCs w:val="22"/>
        </w:rPr>
        <w:t>present</w:t>
      </w:r>
      <w:r w:rsidRPr="1229E8E7">
        <w:rPr>
          <w:sz w:val="22"/>
          <w:szCs w:val="22"/>
        </w:rPr>
        <w:t xml:space="preserve">ly relies on cost, utilization, and demographic patterns that are </w:t>
      </w:r>
      <w:bookmarkStart w:id="10" w:name="_Int_2XfZl0AA"/>
      <w:r w:rsidRPr="1229E8E7">
        <w:rPr>
          <w:sz w:val="22"/>
          <w:szCs w:val="22"/>
        </w:rPr>
        <w:t>nearly ten</w:t>
      </w:r>
      <w:bookmarkEnd w:id="10"/>
      <w:r w:rsidRPr="1229E8E7">
        <w:rPr>
          <w:sz w:val="22"/>
          <w:szCs w:val="22"/>
        </w:rPr>
        <w:t xml:space="preserve"> years old. </w:t>
      </w:r>
      <w:r w:rsidR="4E6B9F16" w:rsidRPr="1229E8E7">
        <w:rPr>
          <w:sz w:val="22"/>
          <w:szCs w:val="22"/>
        </w:rPr>
        <w:t xml:space="preserve">In addition, it would disregard certain </w:t>
      </w:r>
      <w:r w:rsidR="7502C11D" w:rsidRPr="1229E8E7">
        <w:rPr>
          <w:sz w:val="22"/>
          <w:szCs w:val="22"/>
        </w:rPr>
        <w:t xml:space="preserve">“discretionary” </w:t>
      </w:r>
      <w:r w:rsidR="4E6B9F16" w:rsidRPr="1229E8E7">
        <w:rPr>
          <w:sz w:val="22"/>
          <w:szCs w:val="22"/>
        </w:rPr>
        <w:t xml:space="preserve">diagnoses that MA plans </w:t>
      </w:r>
      <w:r w:rsidR="1B92B2C7" w:rsidRPr="1229E8E7">
        <w:rPr>
          <w:sz w:val="22"/>
          <w:szCs w:val="22"/>
        </w:rPr>
        <w:t>utilize but that are not connected to program spending.</w:t>
      </w:r>
      <w:r w:rsidR="4E6B9F16" w:rsidRPr="1229E8E7">
        <w:rPr>
          <w:sz w:val="22"/>
          <w:szCs w:val="22"/>
        </w:rPr>
        <w:t xml:space="preserve"> </w:t>
      </w:r>
      <w:r w:rsidR="7FFD9902" w:rsidRPr="1229E8E7">
        <w:rPr>
          <w:sz w:val="22"/>
          <w:szCs w:val="22"/>
        </w:rPr>
        <w:t>These</w:t>
      </w:r>
      <w:r w:rsidRPr="1229E8E7">
        <w:rPr>
          <w:sz w:val="22"/>
          <w:szCs w:val="22"/>
        </w:rPr>
        <w:t xml:space="preserve"> modernizations </w:t>
      </w:r>
      <w:r w:rsidR="00BD2E4E" w:rsidRPr="1229E8E7">
        <w:rPr>
          <w:sz w:val="22"/>
          <w:szCs w:val="22"/>
        </w:rPr>
        <w:t>“were constructed in close collaboration with expert clinicians to reflect how doctors and other health care providers diagnose and care for their patients.”</w:t>
      </w:r>
      <w:r w:rsidR="00BD2E4E" w:rsidRPr="1229E8E7">
        <w:rPr>
          <w:rStyle w:val="FootnoteReference"/>
          <w:sz w:val="22"/>
          <w:szCs w:val="22"/>
        </w:rPr>
        <w:footnoteReference w:id="25"/>
      </w:r>
      <w:r w:rsidR="00BD2E4E" w:rsidRPr="1229E8E7">
        <w:rPr>
          <w:sz w:val="22"/>
          <w:szCs w:val="22"/>
        </w:rPr>
        <w:t xml:space="preserve"> If adopted, they would </w:t>
      </w:r>
      <w:r w:rsidRPr="1229E8E7">
        <w:rPr>
          <w:sz w:val="22"/>
          <w:szCs w:val="22"/>
        </w:rPr>
        <w:t>better align MA with</w:t>
      </w:r>
      <w:r w:rsidR="00EA008B" w:rsidRPr="1229E8E7">
        <w:rPr>
          <w:sz w:val="22"/>
          <w:szCs w:val="22"/>
        </w:rPr>
        <w:t xml:space="preserve"> standard</w:t>
      </w:r>
      <w:r w:rsidRPr="1229E8E7">
        <w:rPr>
          <w:sz w:val="22"/>
          <w:szCs w:val="22"/>
        </w:rPr>
        <w:t xml:space="preserve"> </w:t>
      </w:r>
      <w:r w:rsidR="0DE4E421" w:rsidRPr="1229E8E7">
        <w:rPr>
          <w:sz w:val="22"/>
          <w:szCs w:val="22"/>
        </w:rPr>
        <w:t xml:space="preserve">practices and </w:t>
      </w:r>
      <w:r w:rsidR="3AA734D4" w:rsidRPr="1229E8E7">
        <w:rPr>
          <w:sz w:val="22"/>
          <w:szCs w:val="22"/>
        </w:rPr>
        <w:t xml:space="preserve">yield </w:t>
      </w:r>
      <w:r w:rsidR="7BB398DA" w:rsidRPr="1229E8E7">
        <w:rPr>
          <w:sz w:val="22"/>
          <w:szCs w:val="22"/>
        </w:rPr>
        <w:t>more</w:t>
      </w:r>
      <w:r w:rsidR="00F710CC" w:rsidRPr="1229E8E7">
        <w:rPr>
          <w:sz w:val="22"/>
          <w:szCs w:val="22"/>
        </w:rPr>
        <w:t xml:space="preserve"> accurate</w:t>
      </w:r>
      <w:r w:rsidR="3AA734D4" w:rsidRPr="1229E8E7">
        <w:rPr>
          <w:sz w:val="22"/>
          <w:szCs w:val="22"/>
        </w:rPr>
        <w:t xml:space="preserve"> </w:t>
      </w:r>
      <w:r w:rsidR="7BB398DA" w:rsidRPr="1229E8E7">
        <w:rPr>
          <w:sz w:val="22"/>
          <w:szCs w:val="22"/>
        </w:rPr>
        <w:t xml:space="preserve">payments. </w:t>
      </w:r>
    </w:p>
    <w:p w14:paraId="479E86BB" w14:textId="67407D1A" w:rsidR="00853EE8" w:rsidRPr="00DC01CC" w:rsidRDefault="00B0176B" w:rsidP="00573435">
      <w:pPr>
        <w:spacing w:after="240" w:line="276" w:lineRule="auto"/>
        <w:rPr>
          <w:rFonts w:cstheme="minorHAnsi"/>
          <w:b/>
          <w:bCs/>
          <w:sz w:val="22"/>
          <w:szCs w:val="22"/>
        </w:rPr>
      </w:pPr>
      <w:r w:rsidRPr="00DC01CC">
        <w:rPr>
          <w:rFonts w:cstheme="minorHAnsi"/>
          <w:b/>
          <w:bCs/>
          <w:sz w:val="22"/>
          <w:szCs w:val="22"/>
        </w:rPr>
        <w:t xml:space="preserve">MA </w:t>
      </w:r>
      <w:r w:rsidR="00853EE8" w:rsidRPr="00DC01CC">
        <w:rPr>
          <w:rFonts w:cstheme="minorHAnsi"/>
          <w:b/>
          <w:bCs/>
          <w:sz w:val="22"/>
          <w:szCs w:val="22"/>
        </w:rPr>
        <w:t>Coding Pattern Adjustment</w:t>
      </w:r>
    </w:p>
    <w:p w14:paraId="1A079FB4" w14:textId="422D00EA" w:rsidR="00B0176B" w:rsidRPr="00573435" w:rsidRDefault="00B0176B" w:rsidP="6D8B429A">
      <w:pPr>
        <w:spacing w:after="240" w:line="276" w:lineRule="auto"/>
        <w:rPr>
          <w:rFonts w:eastAsia="Times New Roman"/>
          <w:sz w:val="22"/>
          <w:szCs w:val="22"/>
        </w:rPr>
      </w:pPr>
      <w:r w:rsidRPr="6D8B429A">
        <w:rPr>
          <w:rFonts w:eastAsia="Calibri"/>
          <w:sz w:val="22"/>
          <w:szCs w:val="22"/>
        </w:rPr>
        <w:t xml:space="preserve">As the Medicare Payment Advisory Commission (MedPAC) explains, </w:t>
      </w:r>
      <w:r w:rsidRPr="6D8B429A">
        <w:rPr>
          <w:rFonts w:eastAsia="Times New Roman"/>
          <w:sz w:val="22"/>
          <w:szCs w:val="22"/>
        </w:rPr>
        <w:t xml:space="preserve">payments to MA plans are inflated, in part “as a result of plans maximizing the </w:t>
      </w:r>
      <w:bookmarkStart w:id="11" w:name="_Int_rv6bV2Mo"/>
      <w:r w:rsidRPr="6D8B429A">
        <w:rPr>
          <w:rFonts w:eastAsia="Times New Roman"/>
          <w:sz w:val="22"/>
          <w:szCs w:val="22"/>
        </w:rPr>
        <w:t>diagnoses</w:t>
      </w:r>
      <w:bookmarkEnd w:id="11"/>
      <w:r w:rsidRPr="6D8B429A">
        <w:rPr>
          <w:rFonts w:eastAsia="Times New Roman"/>
          <w:sz w:val="22"/>
          <w:szCs w:val="22"/>
        </w:rPr>
        <w:t xml:space="preserve"> they report for their enrollees in order to gain higher payments, while the underlying risk adjustment model relies on diagnoses collected from claims from fee-for-service (FFS) providers, who lack the same incentives to code diagnoses.”</w:t>
      </w:r>
    </w:p>
    <w:p w14:paraId="5F7E3548" w14:textId="3A5255B1" w:rsidR="00EE1CCC" w:rsidRDefault="00B0176B" w:rsidP="00EE1CCC">
      <w:pPr>
        <w:spacing w:after="240" w:line="276" w:lineRule="auto"/>
        <w:rPr>
          <w:rFonts w:cstheme="minorHAnsi"/>
          <w:sz w:val="22"/>
          <w:szCs w:val="22"/>
        </w:rPr>
      </w:pPr>
      <w:r w:rsidRPr="6D8B429A">
        <w:rPr>
          <w:sz w:val="22"/>
          <w:szCs w:val="22"/>
        </w:rPr>
        <w:t>CMS has</w:t>
      </w:r>
      <w:r w:rsidR="008707CD" w:rsidRPr="6D8B429A">
        <w:rPr>
          <w:sz w:val="22"/>
          <w:szCs w:val="22"/>
        </w:rPr>
        <w:t xml:space="preserve"> a</w:t>
      </w:r>
      <w:r w:rsidR="002B47B1" w:rsidRPr="6D8B429A">
        <w:rPr>
          <w:sz w:val="22"/>
          <w:szCs w:val="22"/>
        </w:rPr>
        <w:t xml:space="preserve"> crucial lever </w:t>
      </w:r>
      <w:r w:rsidR="008707CD" w:rsidRPr="6D8B429A">
        <w:rPr>
          <w:sz w:val="22"/>
          <w:szCs w:val="22"/>
        </w:rPr>
        <w:t>to help correct this, known as “coding intensity adjustment.” This is an annual</w:t>
      </w:r>
      <w:r w:rsidR="00772560" w:rsidRPr="6D8B429A">
        <w:rPr>
          <w:sz w:val="22"/>
          <w:szCs w:val="22"/>
        </w:rPr>
        <w:t>, across-the-board</w:t>
      </w:r>
      <w:r w:rsidR="008707CD" w:rsidRPr="6D8B429A">
        <w:rPr>
          <w:sz w:val="22"/>
          <w:szCs w:val="22"/>
        </w:rPr>
        <w:t xml:space="preserve"> payment reduction </w:t>
      </w:r>
      <w:r w:rsidR="008707CD" w:rsidRPr="6D8B429A">
        <w:rPr>
          <w:rFonts w:eastAsia="Calibri"/>
          <w:sz w:val="22"/>
          <w:szCs w:val="22"/>
        </w:rPr>
        <w:t xml:space="preserve">designed to account for the </w:t>
      </w:r>
      <w:r w:rsidR="007E6631" w:rsidRPr="6D8B429A">
        <w:rPr>
          <w:rFonts w:eastAsia="Calibri"/>
          <w:sz w:val="22"/>
          <w:szCs w:val="22"/>
        </w:rPr>
        <w:t xml:space="preserve">widespread </w:t>
      </w:r>
      <w:r w:rsidR="00D025EC">
        <w:rPr>
          <w:rFonts w:eastAsia="Calibri"/>
          <w:sz w:val="22"/>
          <w:szCs w:val="22"/>
        </w:rPr>
        <w:t xml:space="preserve">plan </w:t>
      </w:r>
      <w:r w:rsidR="007E6631" w:rsidRPr="6D8B429A">
        <w:rPr>
          <w:rFonts w:eastAsia="Calibri"/>
          <w:sz w:val="22"/>
          <w:szCs w:val="22"/>
        </w:rPr>
        <w:t xml:space="preserve">practice of </w:t>
      </w:r>
      <w:r w:rsidR="008707CD" w:rsidRPr="6D8B429A">
        <w:rPr>
          <w:rFonts w:eastAsia="Calibri"/>
          <w:sz w:val="22"/>
          <w:szCs w:val="22"/>
        </w:rPr>
        <w:t xml:space="preserve">coding too intensely. </w:t>
      </w:r>
      <w:r w:rsidR="72B56224" w:rsidRPr="6D8B429A">
        <w:rPr>
          <w:rFonts w:eastAsia="Calibri"/>
          <w:sz w:val="22"/>
          <w:szCs w:val="22"/>
        </w:rPr>
        <w:t xml:space="preserve">The minimum </w:t>
      </w:r>
      <w:r w:rsidR="008707CD" w:rsidRPr="6D8B429A">
        <w:rPr>
          <w:rFonts w:eastAsia="Calibri"/>
          <w:sz w:val="22"/>
          <w:szCs w:val="22"/>
        </w:rPr>
        <w:t xml:space="preserve">statutory </w:t>
      </w:r>
      <w:r w:rsidR="00C22B57" w:rsidRPr="6D8B429A">
        <w:rPr>
          <w:rFonts w:eastAsia="Calibri"/>
          <w:sz w:val="22"/>
          <w:szCs w:val="22"/>
        </w:rPr>
        <w:t xml:space="preserve">adjustment is </w:t>
      </w:r>
      <w:r w:rsidR="008707CD" w:rsidRPr="6D8B429A">
        <w:rPr>
          <w:rFonts w:eastAsia="Calibri"/>
          <w:sz w:val="22"/>
          <w:szCs w:val="22"/>
        </w:rPr>
        <w:t>5.9%, though CMS can</w:t>
      </w:r>
      <w:r w:rsidR="007E208B">
        <w:rPr>
          <w:rFonts w:eastAsia="Calibri"/>
          <w:sz w:val="22"/>
          <w:szCs w:val="22"/>
        </w:rPr>
        <w:t xml:space="preserve"> and should</w:t>
      </w:r>
      <w:r w:rsidR="008707CD" w:rsidRPr="6D8B429A">
        <w:rPr>
          <w:rFonts w:eastAsia="Calibri"/>
          <w:sz w:val="22"/>
          <w:szCs w:val="22"/>
        </w:rPr>
        <w:t xml:space="preserve"> </w:t>
      </w:r>
      <w:r w:rsidR="6CD4C5F3" w:rsidRPr="6D8B429A">
        <w:rPr>
          <w:rFonts w:eastAsia="Calibri"/>
          <w:sz w:val="22"/>
          <w:szCs w:val="22"/>
        </w:rPr>
        <w:t>increase</w:t>
      </w:r>
      <w:r w:rsidR="00C22B57" w:rsidRPr="6D8B429A">
        <w:rPr>
          <w:rFonts w:eastAsia="Calibri"/>
          <w:sz w:val="22"/>
          <w:szCs w:val="22"/>
        </w:rPr>
        <w:t xml:space="preserve"> it</w:t>
      </w:r>
      <w:r w:rsidR="004E06B2">
        <w:rPr>
          <w:rFonts w:eastAsia="Calibri"/>
          <w:sz w:val="22"/>
          <w:szCs w:val="22"/>
        </w:rPr>
        <w:t xml:space="preserve">. </w:t>
      </w:r>
    </w:p>
    <w:p w14:paraId="20496CA4" w14:textId="669E425F" w:rsidR="003A2617" w:rsidRPr="00724323" w:rsidRDefault="00724323" w:rsidP="6D8B429A">
      <w:pPr>
        <w:spacing w:after="240" w:line="276" w:lineRule="auto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MedPAC </w:t>
      </w:r>
      <w:r w:rsidR="003A2617">
        <w:rPr>
          <w:rFonts w:cstheme="minorHAnsi"/>
          <w:sz w:val="22"/>
          <w:szCs w:val="22"/>
        </w:rPr>
        <w:t>warn</w:t>
      </w:r>
      <w:r>
        <w:rPr>
          <w:rFonts w:cstheme="minorHAnsi"/>
          <w:sz w:val="22"/>
          <w:szCs w:val="22"/>
        </w:rPr>
        <w:t>s</w:t>
      </w:r>
      <w:r w:rsidR="003A2617">
        <w:rPr>
          <w:rFonts w:cstheme="minorHAnsi"/>
          <w:sz w:val="22"/>
          <w:szCs w:val="22"/>
        </w:rPr>
        <w:t xml:space="preserve"> </w:t>
      </w:r>
      <w:r w:rsidR="00850418">
        <w:rPr>
          <w:rFonts w:cstheme="minorHAnsi"/>
          <w:sz w:val="22"/>
          <w:szCs w:val="22"/>
        </w:rPr>
        <w:t>th</w:t>
      </w:r>
      <w:r w:rsidR="00ED264E">
        <w:rPr>
          <w:rFonts w:cstheme="minorHAnsi"/>
          <w:sz w:val="22"/>
          <w:szCs w:val="22"/>
        </w:rPr>
        <w:t>e</w:t>
      </w:r>
      <w:r w:rsidR="00850418">
        <w:rPr>
          <w:rFonts w:cstheme="minorHAnsi"/>
          <w:sz w:val="22"/>
          <w:szCs w:val="22"/>
        </w:rPr>
        <w:t xml:space="preserve"> fixed </w:t>
      </w:r>
      <w:r w:rsidR="003A2617" w:rsidRPr="000C4E52">
        <w:rPr>
          <w:rFonts w:cstheme="minorHAnsi"/>
          <w:sz w:val="22"/>
          <w:szCs w:val="22"/>
        </w:rPr>
        <w:t xml:space="preserve">minimum adjustment </w:t>
      </w:r>
      <w:r w:rsidR="00850418">
        <w:rPr>
          <w:rFonts w:cstheme="minorHAnsi"/>
          <w:sz w:val="22"/>
          <w:szCs w:val="22"/>
        </w:rPr>
        <w:t xml:space="preserve">is not </w:t>
      </w:r>
      <w:r w:rsidR="00EF1736">
        <w:rPr>
          <w:rFonts w:cstheme="minorHAnsi"/>
          <w:sz w:val="22"/>
          <w:szCs w:val="22"/>
        </w:rPr>
        <w:t>keep</w:t>
      </w:r>
      <w:r w:rsidR="00306C7F">
        <w:rPr>
          <w:rFonts w:cstheme="minorHAnsi"/>
          <w:sz w:val="22"/>
          <w:szCs w:val="22"/>
        </w:rPr>
        <w:t>ing</w:t>
      </w:r>
      <w:r w:rsidR="00EF1736">
        <w:rPr>
          <w:rFonts w:cstheme="minorHAnsi"/>
          <w:sz w:val="22"/>
          <w:szCs w:val="22"/>
        </w:rPr>
        <w:t xml:space="preserve"> </w:t>
      </w:r>
      <w:r w:rsidR="003A2617" w:rsidRPr="000C4E52">
        <w:rPr>
          <w:rFonts w:cstheme="minorHAnsi"/>
          <w:sz w:val="22"/>
          <w:szCs w:val="22"/>
        </w:rPr>
        <w:t>pace with MA coding</w:t>
      </w:r>
      <w:r w:rsidR="003A2617">
        <w:rPr>
          <w:rFonts w:cstheme="minorHAnsi"/>
          <w:sz w:val="22"/>
          <w:szCs w:val="22"/>
        </w:rPr>
        <w:t xml:space="preserve"> intensity</w:t>
      </w:r>
      <w:r w:rsidR="007347B8">
        <w:rPr>
          <w:rFonts w:cstheme="minorHAnsi"/>
          <w:sz w:val="22"/>
          <w:szCs w:val="22"/>
        </w:rPr>
        <w:t xml:space="preserve"> trend</w:t>
      </w:r>
      <w:r w:rsidR="00904C5E">
        <w:rPr>
          <w:rFonts w:cstheme="minorHAnsi"/>
          <w:sz w:val="22"/>
          <w:szCs w:val="22"/>
        </w:rPr>
        <w:t>line</w:t>
      </w:r>
      <w:r w:rsidR="007347B8">
        <w:rPr>
          <w:rFonts w:cstheme="minorHAnsi"/>
          <w:sz w:val="22"/>
          <w:szCs w:val="22"/>
        </w:rPr>
        <w:t>s</w:t>
      </w:r>
      <w:r w:rsidR="003A2617" w:rsidRPr="000C4E52">
        <w:rPr>
          <w:rFonts w:cstheme="minorHAnsi"/>
          <w:sz w:val="22"/>
          <w:szCs w:val="22"/>
        </w:rPr>
        <w:t>. As it falls ever short</w:t>
      </w:r>
      <w:r w:rsidR="003633A4">
        <w:rPr>
          <w:rFonts w:cstheme="minorHAnsi"/>
          <w:sz w:val="22"/>
          <w:szCs w:val="22"/>
        </w:rPr>
        <w:t>—</w:t>
      </w:r>
      <w:r w:rsidR="003A2617">
        <w:rPr>
          <w:rFonts w:cstheme="minorHAnsi"/>
          <w:sz w:val="22"/>
          <w:szCs w:val="22"/>
        </w:rPr>
        <w:t>and is applied to an ever-growing number of MA enrollees</w:t>
      </w:r>
      <w:r w:rsidR="003633A4">
        <w:rPr>
          <w:rFonts w:cstheme="minorHAnsi"/>
          <w:sz w:val="22"/>
          <w:szCs w:val="22"/>
        </w:rPr>
        <w:t>—</w:t>
      </w:r>
      <w:r w:rsidR="003A2617" w:rsidRPr="000C4E52">
        <w:rPr>
          <w:rFonts w:cstheme="minorHAnsi"/>
          <w:sz w:val="22"/>
          <w:szCs w:val="22"/>
        </w:rPr>
        <w:t>overpayments will only rise</w:t>
      </w:r>
      <w:r w:rsidR="003A2617">
        <w:rPr>
          <w:rFonts w:cstheme="minorHAnsi"/>
          <w:sz w:val="22"/>
          <w:szCs w:val="22"/>
        </w:rPr>
        <w:t>.</w:t>
      </w:r>
      <w:r w:rsidR="003A2617">
        <w:rPr>
          <w:rStyle w:val="FootnoteReference"/>
          <w:rFonts w:cstheme="minorHAnsi"/>
          <w:sz w:val="22"/>
          <w:szCs w:val="22"/>
        </w:rPr>
        <w:footnoteReference w:id="26"/>
      </w:r>
      <w:r>
        <w:rPr>
          <w:rFonts w:cs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The Commission </w:t>
      </w:r>
      <w:r w:rsidRPr="6D8B429A">
        <w:rPr>
          <w:sz w:val="22"/>
          <w:szCs w:val="22"/>
        </w:rPr>
        <w:t xml:space="preserve">estimates that in 2020, risk scores </w:t>
      </w:r>
      <w:r>
        <w:rPr>
          <w:sz w:val="22"/>
          <w:szCs w:val="22"/>
        </w:rPr>
        <w:t xml:space="preserve">for MA enrollees </w:t>
      </w:r>
      <w:r w:rsidRPr="6D8B429A">
        <w:rPr>
          <w:sz w:val="22"/>
          <w:szCs w:val="22"/>
        </w:rPr>
        <w:t xml:space="preserve">were </w:t>
      </w:r>
      <w:r w:rsidR="005D5658">
        <w:rPr>
          <w:sz w:val="22"/>
          <w:szCs w:val="22"/>
        </w:rPr>
        <w:t xml:space="preserve">already </w:t>
      </w:r>
      <w:r w:rsidRPr="6D8B429A">
        <w:rPr>
          <w:sz w:val="22"/>
          <w:szCs w:val="22"/>
        </w:rPr>
        <w:t xml:space="preserve">9.5% </w:t>
      </w:r>
      <w:r w:rsidRPr="6D8B429A">
        <w:rPr>
          <w:sz w:val="22"/>
          <w:szCs w:val="22"/>
        </w:rPr>
        <w:lastRenderedPageBreak/>
        <w:t xml:space="preserve">higher than </w:t>
      </w:r>
      <w:r>
        <w:rPr>
          <w:sz w:val="22"/>
          <w:szCs w:val="22"/>
        </w:rPr>
        <w:t xml:space="preserve">what they would have been for a similar beneficiary in </w:t>
      </w:r>
      <w:r w:rsidRPr="6D8B429A">
        <w:rPr>
          <w:sz w:val="22"/>
          <w:szCs w:val="22"/>
        </w:rPr>
        <w:t xml:space="preserve">Original Medicare, </w:t>
      </w:r>
      <w:r>
        <w:rPr>
          <w:sz w:val="22"/>
          <w:szCs w:val="22"/>
        </w:rPr>
        <w:t xml:space="preserve">resulting in </w:t>
      </w:r>
      <w:r w:rsidRPr="6D8B429A">
        <w:rPr>
          <w:sz w:val="22"/>
          <w:szCs w:val="22"/>
        </w:rPr>
        <w:t xml:space="preserve">$12 billion in excess </w:t>
      </w:r>
      <w:r w:rsidR="000B41F5">
        <w:rPr>
          <w:sz w:val="22"/>
          <w:szCs w:val="22"/>
        </w:rPr>
        <w:t xml:space="preserve">plan </w:t>
      </w:r>
      <w:r w:rsidRPr="6D8B429A">
        <w:rPr>
          <w:sz w:val="22"/>
          <w:szCs w:val="22"/>
        </w:rPr>
        <w:t xml:space="preserve">payments and </w:t>
      </w:r>
      <w:r w:rsidR="000B41F5">
        <w:rPr>
          <w:sz w:val="22"/>
          <w:szCs w:val="22"/>
        </w:rPr>
        <w:t xml:space="preserve">illustrating </w:t>
      </w:r>
      <w:r>
        <w:rPr>
          <w:sz w:val="22"/>
          <w:szCs w:val="22"/>
        </w:rPr>
        <w:t>the inadequacy of a 5.9% adjustment</w:t>
      </w:r>
      <w:r w:rsidRPr="6D8B429A">
        <w:rPr>
          <w:sz w:val="22"/>
          <w:szCs w:val="22"/>
        </w:rPr>
        <w:t>.</w:t>
      </w:r>
      <w:r w:rsidRPr="6D8B429A">
        <w:rPr>
          <w:rStyle w:val="FootnoteReference"/>
          <w:sz w:val="22"/>
          <w:szCs w:val="22"/>
        </w:rPr>
        <w:footnoteReference w:id="27"/>
      </w:r>
      <w:r>
        <w:rPr>
          <w:sz w:val="22"/>
          <w:szCs w:val="22"/>
        </w:rPr>
        <w:t xml:space="preserve"> </w:t>
      </w:r>
    </w:p>
    <w:p w14:paraId="48977BA3" w14:textId="4CB9255C" w:rsidR="00713A22" w:rsidRDefault="008707CD" w:rsidP="00573435">
      <w:pPr>
        <w:spacing w:after="240" w:line="276" w:lineRule="auto"/>
        <w:rPr>
          <w:rFonts w:cstheme="minorHAnsi"/>
          <w:sz w:val="22"/>
          <w:szCs w:val="22"/>
        </w:rPr>
      </w:pPr>
      <w:r w:rsidRPr="00DC01CC">
        <w:rPr>
          <w:rFonts w:cstheme="minorHAnsi"/>
          <w:sz w:val="22"/>
          <w:szCs w:val="22"/>
        </w:rPr>
        <w:t xml:space="preserve">Yet, </w:t>
      </w:r>
      <w:r w:rsidR="00853EE8" w:rsidRPr="00DC01CC">
        <w:rPr>
          <w:rFonts w:cstheme="minorHAnsi"/>
          <w:sz w:val="22"/>
          <w:szCs w:val="22"/>
        </w:rPr>
        <w:t xml:space="preserve">CMS </w:t>
      </w:r>
      <w:r w:rsidR="00B0176B" w:rsidRPr="00DC01CC">
        <w:rPr>
          <w:rFonts w:cstheme="minorHAnsi"/>
          <w:sz w:val="22"/>
          <w:szCs w:val="22"/>
        </w:rPr>
        <w:t xml:space="preserve">is </w:t>
      </w:r>
      <w:r w:rsidRPr="00DC01CC">
        <w:rPr>
          <w:rFonts w:cstheme="minorHAnsi"/>
          <w:sz w:val="22"/>
          <w:szCs w:val="22"/>
        </w:rPr>
        <w:t>again</w:t>
      </w:r>
      <w:r w:rsidR="00B0176B" w:rsidRPr="00DC01CC">
        <w:rPr>
          <w:rFonts w:cstheme="minorHAnsi"/>
          <w:sz w:val="22"/>
          <w:szCs w:val="22"/>
        </w:rPr>
        <w:t xml:space="preserve"> </w:t>
      </w:r>
      <w:r w:rsidR="000B41F5">
        <w:rPr>
          <w:rFonts w:cstheme="minorHAnsi"/>
          <w:sz w:val="22"/>
          <w:szCs w:val="22"/>
        </w:rPr>
        <w:t>seeking</w:t>
      </w:r>
      <w:r w:rsidR="00A42876">
        <w:rPr>
          <w:rFonts w:cstheme="minorHAnsi"/>
          <w:sz w:val="22"/>
          <w:szCs w:val="22"/>
        </w:rPr>
        <w:t xml:space="preserve"> </w:t>
      </w:r>
      <w:r w:rsidR="00853EE8" w:rsidRPr="00DC01CC">
        <w:rPr>
          <w:rFonts w:cstheme="minorHAnsi"/>
          <w:sz w:val="22"/>
          <w:szCs w:val="22"/>
        </w:rPr>
        <w:t>to apply the statutory minimum</w:t>
      </w:r>
      <w:r w:rsidRPr="00DC01CC">
        <w:rPr>
          <w:rFonts w:cstheme="minorHAnsi"/>
          <w:sz w:val="22"/>
          <w:szCs w:val="22"/>
        </w:rPr>
        <w:t xml:space="preserve"> for </w:t>
      </w:r>
      <w:r w:rsidRPr="00800501">
        <w:rPr>
          <w:rFonts w:cstheme="minorHAnsi"/>
          <w:sz w:val="22"/>
          <w:szCs w:val="22"/>
        </w:rPr>
        <w:t xml:space="preserve">2024. </w:t>
      </w:r>
      <w:r w:rsidR="00853EE8" w:rsidRPr="00800501">
        <w:rPr>
          <w:rFonts w:cstheme="minorHAnsi"/>
          <w:sz w:val="22"/>
          <w:szCs w:val="22"/>
        </w:rPr>
        <w:t>We</w:t>
      </w:r>
      <w:r w:rsidR="00800501" w:rsidRPr="00800501">
        <w:rPr>
          <w:rFonts w:cstheme="minorHAnsi"/>
          <w:sz w:val="22"/>
          <w:szCs w:val="22"/>
        </w:rPr>
        <w:t xml:space="preserve"> </w:t>
      </w:r>
      <w:r w:rsidR="00853EE8" w:rsidRPr="00800501">
        <w:rPr>
          <w:rFonts w:cstheme="minorHAnsi"/>
          <w:sz w:val="22"/>
          <w:szCs w:val="22"/>
        </w:rPr>
        <w:t>strongly</w:t>
      </w:r>
      <w:r w:rsidR="00853EE8" w:rsidRPr="00DC01CC">
        <w:rPr>
          <w:rFonts w:cstheme="minorHAnsi"/>
          <w:sz w:val="22"/>
          <w:szCs w:val="22"/>
        </w:rPr>
        <w:t xml:space="preserve"> encourage CMS </w:t>
      </w:r>
      <w:r w:rsidR="00A42876">
        <w:rPr>
          <w:rFonts w:cstheme="minorHAnsi"/>
          <w:sz w:val="22"/>
          <w:szCs w:val="22"/>
        </w:rPr>
        <w:t xml:space="preserve">to </w:t>
      </w:r>
      <w:r w:rsidR="000B41F5">
        <w:rPr>
          <w:rFonts w:cstheme="minorHAnsi"/>
          <w:sz w:val="22"/>
          <w:szCs w:val="22"/>
        </w:rPr>
        <w:t xml:space="preserve">reconsider this, and to </w:t>
      </w:r>
      <w:r w:rsidR="00A42876">
        <w:rPr>
          <w:rFonts w:cstheme="minorHAnsi"/>
          <w:sz w:val="22"/>
          <w:szCs w:val="22"/>
        </w:rPr>
        <w:t>instead</w:t>
      </w:r>
      <w:r w:rsidR="00853EE8" w:rsidRPr="00DC01CC">
        <w:rPr>
          <w:rFonts w:cstheme="minorHAnsi"/>
          <w:sz w:val="22"/>
          <w:szCs w:val="22"/>
        </w:rPr>
        <w:t xml:space="preserve"> </w:t>
      </w:r>
      <w:r w:rsidR="000B41F5">
        <w:rPr>
          <w:rFonts w:cstheme="minorHAnsi"/>
          <w:sz w:val="22"/>
          <w:szCs w:val="22"/>
        </w:rPr>
        <w:t xml:space="preserve">pursue an </w:t>
      </w:r>
      <w:r w:rsidR="00853EE8" w:rsidRPr="00DC01CC">
        <w:rPr>
          <w:rFonts w:cstheme="minorHAnsi"/>
          <w:sz w:val="22"/>
          <w:szCs w:val="22"/>
        </w:rPr>
        <w:t xml:space="preserve">adjustment </w:t>
      </w:r>
      <w:r w:rsidR="000B41F5">
        <w:rPr>
          <w:rFonts w:cstheme="minorHAnsi"/>
          <w:sz w:val="22"/>
          <w:szCs w:val="22"/>
        </w:rPr>
        <w:t xml:space="preserve">level </w:t>
      </w:r>
      <w:r w:rsidR="00853EE8" w:rsidRPr="00DC01CC">
        <w:rPr>
          <w:rFonts w:cstheme="minorHAnsi"/>
          <w:sz w:val="22"/>
          <w:szCs w:val="22"/>
        </w:rPr>
        <w:t>that more</w:t>
      </w:r>
      <w:r w:rsidR="00B056D1">
        <w:rPr>
          <w:rFonts w:cstheme="minorHAnsi"/>
          <w:sz w:val="22"/>
          <w:szCs w:val="22"/>
        </w:rPr>
        <w:t xml:space="preserve"> sufficient</w:t>
      </w:r>
      <w:r w:rsidR="00853EE8" w:rsidRPr="00DC01CC">
        <w:rPr>
          <w:rFonts w:cstheme="minorHAnsi"/>
          <w:sz w:val="22"/>
          <w:szCs w:val="22"/>
        </w:rPr>
        <w:t xml:space="preserve">ly accounts for </w:t>
      </w:r>
      <w:r w:rsidR="00350422">
        <w:rPr>
          <w:rFonts w:cstheme="minorHAnsi"/>
          <w:sz w:val="22"/>
          <w:szCs w:val="22"/>
        </w:rPr>
        <w:t xml:space="preserve">the impact of </w:t>
      </w:r>
      <w:r w:rsidR="00853EE8" w:rsidRPr="00DC01CC">
        <w:rPr>
          <w:rFonts w:cstheme="minorHAnsi"/>
          <w:sz w:val="22"/>
          <w:szCs w:val="22"/>
        </w:rPr>
        <w:t xml:space="preserve">coding differences between </w:t>
      </w:r>
      <w:r w:rsidR="00B954FB" w:rsidRPr="00DC01CC">
        <w:rPr>
          <w:rFonts w:cstheme="minorHAnsi"/>
          <w:sz w:val="22"/>
          <w:szCs w:val="22"/>
        </w:rPr>
        <w:t>Original</w:t>
      </w:r>
      <w:r w:rsidR="008B5D01" w:rsidRPr="00DC01CC">
        <w:rPr>
          <w:rFonts w:cstheme="minorHAnsi"/>
          <w:sz w:val="22"/>
          <w:szCs w:val="22"/>
        </w:rPr>
        <w:t xml:space="preserve"> </w:t>
      </w:r>
      <w:r w:rsidR="00853EE8" w:rsidRPr="00DC01CC">
        <w:rPr>
          <w:rFonts w:cstheme="minorHAnsi"/>
          <w:sz w:val="22"/>
          <w:szCs w:val="22"/>
        </w:rPr>
        <w:t>Medicare and MA.</w:t>
      </w:r>
    </w:p>
    <w:p w14:paraId="1FD2848C" w14:textId="1F545DFE" w:rsidR="005162DD" w:rsidRPr="00DC01CC" w:rsidRDefault="005162DD" w:rsidP="00573435">
      <w:pPr>
        <w:spacing w:after="240" w:line="276" w:lineRule="auto"/>
        <w:rPr>
          <w:rFonts w:cstheme="minorHAnsi"/>
          <w:b/>
          <w:bCs/>
          <w:sz w:val="22"/>
          <w:szCs w:val="22"/>
        </w:rPr>
      </w:pPr>
      <w:r w:rsidRPr="00DC01CC">
        <w:rPr>
          <w:rFonts w:cstheme="minorHAnsi"/>
          <w:b/>
          <w:bCs/>
          <w:sz w:val="22"/>
          <w:szCs w:val="22"/>
        </w:rPr>
        <w:t>C</w:t>
      </w:r>
      <w:r w:rsidR="00452E1F" w:rsidRPr="00DC01CC">
        <w:rPr>
          <w:rFonts w:cstheme="minorHAnsi"/>
          <w:b/>
          <w:bCs/>
          <w:sz w:val="22"/>
          <w:szCs w:val="22"/>
        </w:rPr>
        <w:t>onclusion</w:t>
      </w:r>
    </w:p>
    <w:p w14:paraId="3795D762" w14:textId="5DBE87CB" w:rsidR="00547EAB" w:rsidRPr="00573435" w:rsidRDefault="00547EAB" w:rsidP="00573435">
      <w:pPr>
        <w:spacing w:after="240" w:line="276" w:lineRule="auto"/>
        <w:rPr>
          <w:rFonts w:cstheme="minorHAnsi"/>
          <w:sz w:val="22"/>
          <w:szCs w:val="22"/>
        </w:rPr>
      </w:pPr>
      <w:r w:rsidRPr="00573435">
        <w:rPr>
          <w:rFonts w:cstheme="minorHAnsi"/>
          <w:sz w:val="22"/>
          <w:szCs w:val="22"/>
        </w:rPr>
        <w:t>We applaud CMS’s efforts to</w:t>
      </w:r>
      <w:r w:rsidR="00F802ED" w:rsidRPr="00573435">
        <w:rPr>
          <w:rFonts w:cstheme="minorHAnsi"/>
          <w:sz w:val="22"/>
          <w:szCs w:val="22"/>
        </w:rPr>
        <w:t xml:space="preserve"> modernize</w:t>
      </w:r>
      <w:r w:rsidRPr="00573435" w:rsidDel="00F802ED">
        <w:rPr>
          <w:rFonts w:cstheme="minorHAnsi"/>
          <w:sz w:val="22"/>
          <w:szCs w:val="22"/>
        </w:rPr>
        <w:t xml:space="preserve"> </w:t>
      </w:r>
      <w:r w:rsidR="00F802ED" w:rsidRPr="00573435">
        <w:rPr>
          <w:rFonts w:cstheme="minorHAnsi"/>
          <w:sz w:val="22"/>
          <w:szCs w:val="22"/>
        </w:rPr>
        <w:t xml:space="preserve">MA </w:t>
      </w:r>
      <w:r w:rsidRPr="00573435">
        <w:rPr>
          <w:rFonts w:cstheme="minorHAnsi"/>
          <w:sz w:val="22"/>
          <w:szCs w:val="22"/>
        </w:rPr>
        <w:t>payment methodology</w:t>
      </w:r>
      <w:r w:rsidRPr="00573435" w:rsidDel="00F802ED">
        <w:rPr>
          <w:rFonts w:cstheme="minorHAnsi"/>
          <w:sz w:val="22"/>
          <w:szCs w:val="22"/>
        </w:rPr>
        <w:t xml:space="preserve"> </w:t>
      </w:r>
      <w:r w:rsidR="70E09A19" w:rsidRPr="00573435">
        <w:rPr>
          <w:rFonts w:cstheme="minorHAnsi"/>
          <w:sz w:val="22"/>
          <w:szCs w:val="22"/>
        </w:rPr>
        <w:t>and</w:t>
      </w:r>
      <w:r w:rsidRPr="00573435" w:rsidDel="00F802ED">
        <w:rPr>
          <w:rFonts w:cstheme="minorHAnsi"/>
          <w:sz w:val="22"/>
          <w:szCs w:val="22"/>
        </w:rPr>
        <w:t xml:space="preserve"> </w:t>
      </w:r>
      <w:r w:rsidR="00CF17A6" w:rsidRPr="00573435">
        <w:rPr>
          <w:rFonts w:cstheme="minorHAnsi"/>
          <w:sz w:val="22"/>
          <w:szCs w:val="22"/>
        </w:rPr>
        <w:t>support</w:t>
      </w:r>
      <w:r w:rsidRPr="00573435">
        <w:rPr>
          <w:rFonts w:cstheme="minorHAnsi"/>
          <w:sz w:val="22"/>
          <w:szCs w:val="22"/>
        </w:rPr>
        <w:t xml:space="preserve"> further action to </w:t>
      </w:r>
      <w:r w:rsidR="00F16C18" w:rsidRPr="00573435">
        <w:rPr>
          <w:rFonts w:cstheme="minorHAnsi"/>
          <w:sz w:val="22"/>
          <w:szCs w:val="22"/>
        </w:rPr>
        <w:t xml:space="preserve">control </w:t>
      </w:r>
      <w:r w:rsidR="00EA008B" w:rsidRPr="00573435">
        <w:rPr>
          <w:rFonts w:cstheme="minorHAnsi"/>
          <w:sz w:val="22"/>
          <w:szCs w:val="22"/>
        </w:rPr>
        <w:t xml:space="preserve">soaring </w:t>
      </w:r>
      <w:r w:rsidRPr="00573435">
        <w:rPr>
          <w:rFonts w:cstheme="minorHAnsi"/>
          <w:sz w:val="22"/>
          <w:szCs w:val="22"/>
        </w:rPr>
        <w:t xml:space="preserve">and unnecessary </w:t>
      </w:r>
      <w:r w:rsidR="3F3C1C8D" w:rsidRPr="00573435">
        <w:rPr>
          <w:rFonts w:cstheme="minorHAnsi"/>
          <w:sz w:val="22"/>
          <w:szCs w:val="22"/>
        </w:rPr>
        <w:t xml:space="preserve">MA </w:t>
      </w:r>
      <w:r w:rsidRPr="00573435">
        <w:rPr>
          <w:rFonts w:cstheme="minorHAnsi"/>
          <w:sz w:val="22"/>
          <w:szCs w:val="22"/>
        </w:rPr>
        <w:t>costs.</w:t>
      </w:r>
    </w:p>
    <w:p w14:paraId="2F265ADB" w14:textId="14FD083B" w:rsidR="008B5D01" w:rsidRPr="00573435" w:rsidRDefault="008B5D01" w:rsidP="00573435">
      <w:pPr>
        <w:spacing w:after="240" w:line="276" w:lineRule="auto"/>
        <w:rPr>
          <w:rFonts w:cstheme="minorHAnsi"/>
          <w:sz w:val="22"/>
          <w:szCs w:val="22"/>
        </w:rPr>
      </w:pPr>
      <w:r w:rsidRPr="00573435">
        <w:rPr>
          <w:rFonts w:cstheme="minorHAnsi"/>
          <w:sz w:val="22"/>
          <w:szCs w:val="22"/>
        </w:rPr>
        <w:t>MA payment must strike a balance between encouraging insurers to enter and remain in the market and providing value for beneficiaries, taxpayers, and Medicare. Currently, the needle has swung too far to</w:t>
      </w:r>
      <w:r w:rsidR="005262BB" w:rsidRPr="00573435">
        <w:rPr>
          <w:rFonts w:cstheme="minorHAnsi"/>
          <w:sz w:val="22"/>
          <w:szCs w:val="22"/>
        </w:rPr>
        <w:t>wards</w:t>
      </w:r>
      <w:r w:rsidRPr="00573435">
        <w:rPr>
          <w:rFonts w:cstheme="minorHAnsi"/>
          <w:sz w:val="22"/>
          <w:szCs w:val="22"/>
        </w:rPr>
        <w:t xml:space="preserve"> </w:t>
      </w:r>
      <w:r w:rsidR="4043805B" w:rsidRPr="00573435">
        <w:rPr>
          <w:rFonts w:cstheme="minorHAnsi"/>
          <w:sz w:val="22"/>
          <w:szCs w:val="22"/>
        </w:rPr>
        <w:t>plan</w:t>
      </w:r>
      <w:r w:rsidR="4686F183" w:rsidRPr="00573435">
        <w:rPr>
          <w:rFonts w:cstheme="minorHAnsi"/>
          <w:sz w:val="22"/>
          <w:szCs w:val="22"/>
        </w:rPr>
        <w:t>s</w:t>
      </w:r>
      <w:r w:rsidRPr="00573435">
        <w:rPr>
          <w:rFonts w:cstheme="minorHAnsi"/>
          <w:sz w:val="22"/>
          <w:szCs w:val="22"/>
        </w:rPr>
        <w:t xml:space="preserve">, as carriers inundate the market and are rewarded with </w:t>
      </w:r>
      <w:r w:rsidR="00EA008B" w:rsidRPr="00573435">
        <w:rPr>
          <w:rFonts w:cstheme="minorHAnsi"/>
          <w:sz w:val="22"/>
          <w:szCs w:val="22"/>
        </w:rPr>
        <w:t>extreme</w:t>
      </w:r>
      <w:r w:rsidRPr="00573435">
        <w:rPr>
          <w:rFonts w:cstheme="minorHAnsi"/>
          <w:sz w:val="22"/>
          <w:szCs w:val="22"/>
        </w:rPr>
        <w:t xml:space="preserve"> profits, </w:t>
      </w:r>
      <w:r w:rsidR="00C310B0" w:rsidRPr="00573435">
        <w:rPr>
          <w:rFonts w:cstheme="minorHAnsi"/>
          <w:sz w:val="22"/>
          <w:szCs w:val="22"/>
        </w:rPr>
        <w:t>a</w:t>
      </w:r>
      <w:r w:rsidR="00F978A0" w:rsidRPr="00573435">
        <w:rPr>
          <w:rFonts w:cstheme="minorHAnsi"/>
          <w:sz w:val="22"/>
          <w:szCs w:val="22"/>
        </w:rPr>
        <w:t xml:space="preserve">t the expense of </w:t>
      </w:r>
      <w:r w:rsidR="00374A21" w:rsidRPr="00573435">
        <w:rPr>
          <w:rFonts w:cstheme="minorHAnsi"/>
          <w:sz w:val="22"/>
          <w:szCs w:val="22"/>
        </w:rPr>
        <w:t xml:space="preserve">Medicare solvency </w:t>
      </w:r>
      <w:r w:rsidR="00E262FA" w:rsidRPr="00573435">
        <w:rPr>
          <w:rFonts w:cstheme="minorHAnsi"/>
          <w:sz w:val="22"/>
          <w:szCs w:val="22"/>
        </w:rPr>
        <w:t>and</w:t>
      </w:r>
      <w:r w:rsidR="00B372D9" w:rsidRPr="00573435">
        <w:rPr>
          <w:rFonts w:cstheme="minorHAnsi"/>
          <w:sz w:val="22"/>
          <w:szCs w:val="22"/>
        </w:rPr>
        <w:t xml:space="preserve"> </w:t>
      </w:r>
      <w:r w:rsidR="00F978A0" w:rsidRPr="00573435">
        <w:rPr>
          <w:rFonts w:cstheme="minorHAnsi"/>
          <w:sz w:val="22"/>
          <w:szCs w:val="22"/>
        </w:rPr>
        <w:t xml:space="preserve">individual </w:t>
      </w:r>
      <w:r w:rsidR="39504ADB" w:rsidRPr="00573435">
        <w:rPr>
          <w:rFonts w:cstheme="minorHAnsi"/>
          <w:sz w:val="22"/>
          <w:szCs w:val="22"/>
        </w:rPr>
        <w:t>Americans</w:t>
      </w:r>
      <w:r w:rsidR="7EB77F14" w:rsidRPr="00573435">
        <w:rPr>
          <w:rFonts w:cstheme="minorHAnsi"/>
          <w:sz w:val="22"/>
          <w:szCs w:val="22"/>
        </w:rPr>
        <w:t>’</w:t>
      </w:r>
      <w:r w:rsidR="0013091C" w:rsidRPr="00573435">
        <w:rPr>
          <w:rFonts w:cstheme="minorHAnsi"/>
          <w:sz w:val="22"/>
          <w:szCs w:val="22"/>
        </w:rPr>
        <w:t xml:space="preserve"> financial security</w:t>
      </w:r>
      <w:r w:rsidR="00B372D9" w:rsidRPr="00573435">
        <w:rPr>
          <w:rFonts w:cstheme="minorHAnsi"/>
          <w:sz w:val="22"/>
          <w:szCs w:val="22"/>
        </w:rPr>
        <w:t>.</w:t>
      </w:r>
      <w:r w:rsidR="00FC0745" w:rsidRPr="00573435">
        <w:rPr>
          <w:rFonts w:cstheme="minorHAnsi"/>
          <w:sz w:val="22"/>
          <w:szCs w:val="22"/>
        </w:rPr>
        <w:t xml:space="preserve"> </w:t>
      </w:r>
    </w:p>
    <w:p w14:paraId="555446E5" w14:textId="436271B5" w:rsidR="00F1456B" w:rsidRPr="00DC01CC" w:rsidRDefault="00F1456B" w:rsidP="00573435">
      <w:pPr>
        <w:pStyle w:val="Header"/>
        <w:tabs>
          <w:tab w:val="left" w:pos="720"/>
          <w:tab w:val="left" w:pos="3240"/>
          <w:tab w:val="left" w:pos="4680"/>
        </w:tabs>
        <w:spacing w:after="240" w:line="276" w:lineRule="auto"/>
        <w:rPr>
          <w:rFonts w:cstheme="minorHAnsi"/>
        </w:rPr>
      </w:pPr>
      <w:r w:rsidRPr="00DC01CC">
        <w:rPr>
          <w:rFonts w:cstheme="minorHAnsi"/>
        </w:rPr>
        <w:t>Thank you again for this opportunity to provide comment. For additional information, please contact [</w:t>
      </w:r>
      <w:r w:rsidR="00C63A02">
        <w:rPr>
          <w:rFonts w:cstheme="minorHAnsi"/>
          <w:highlight w:val="yellow"/>
        </w:rPr>
        <w:t>name</w:t>
      </w:r>
      <w:r w:rsidR="00B557D8">
        <w:rPr>
          <w:rFonts w:cstheme="minorHAnsi"/>
          <w:highlight w:val="yellow"/>
        </w:rPr>
        <w:t xml:space="preserve"> and title (if other than yourself),</w:t>
      </w:r>
      <w:r w:rsidR="00BC3637" w:rsidRPr="00DC01CC">
        <w:rPr>
          <w:rFonts w:cstheme="minorHAnsi"/>
          <w:highlight w:val="yellow"/>
        </w:rPr>
        <w:t xml:space="preserve"> e-mail</w:t>
      </w:r>
      <w:r w:rsidR="00B557D8">
        <w:rPr>
          <w:rFonts w:cstheme="minorHAnsi"/>
          <w:highlight w:val="yellow"/>
        </w:rPr>
        <w:t>,</w:t>
      </w:r>
      <w:r w:rsidR="00BC3637" w:rsidRPr="00DC01CC">
        <w:rPr>
          <w:rFonts w:cstheme="minorHAnsi"/>
          <w:highlight w:val="yellow"/>
        </w:rPr>
        <w:t xml:space="preserve"> and phone number</w:t>
      </w:r>
      <w:r w:rsidRPr="00DC01CC">
        <w:rPr>
          <w:rFonts w:cstheme="minorHAnsi"/>
          <w:highlight w:val="yellow"/>
        </w:rPr>
        <w:t>].</w:t>
      </w:r>
    </w:p>
    <w:p w14:paraId="1D309FDA" w14:textId="77777777" w:rsidR="00F1456B" w:rsidRPr="00DC01CC" w:rsidRDefault="00F1456B" w:rsidP="00573435">
      <w:pPr>
        <w:pStyle w:val="Header"/>
        <w:tabs>
          <w:tab w:val="left" w:pos="720"/>
          <w:tab w:val="left" w:pos="3240"/>
          <w:tab w:val="left" w:pos="4680"/>
        </w:tabs>
        <w:spacing w:after="240" w:line="276" w:lineRule="auto"/>
        <w:rPr>
          <w:rFonts w:cstheme="minorHAnsi"/>
        </w:rPr>
      </w:pPr>
      <w:r w:rsidRPr="00DC01CC">
        <w:rPr>
          <w:rFonts w:cstheme="minorHAnsi"/>
        </w:rPr>
        <w:t>Sincerely,</w:t>
      </w:r>
    </w:p>
    <w:p w14:paraId="4E55AE10" w14:textId="09ADB707" w:rsidR="00547EAB" w:rsidRPr="00573435" w:rsidRDefault="00F1456B" w:rsidP="00573435">
      <w:pPr>
        <w:pStyle w:val="Header"/>
        <w:tabs>
          <w:tab w:val="left" w:pos="720"/>
          <w:tab w:val="left" w:pos="3240"/>
          <w:tab w:val="left" w:pos="4680"/>
        </w:tabs>
        <w:spacing w:after="240" w:line="276" w:lineRule="auto"/>
        <w:rPr>
          <w:rFonts w:cstheme="minorHAnsi"/>
        </w:rPr>
      </w:pPr>
      <w:r w:rsidRPr="00DC01CC">
        <w:rPr>
          <w:rFonts w:cstheme="minorHAnsi"/>
          <w:highlight w:val="yellow"/>
        </w:rPr>
        <w:t>[</w:t>
      </w:r>
      <w:r w:rsidR="00653F28" w:rsidRPr="00DC01CC">
        <w:rPr>
          <w:rFonts w:cstheme="minorHAnsi"/>
          <w:highlight w:val="yellow"/>
        </w:rPr>
        <w:t>Name</w:t>
      </w:r>
      <w:r w:rsidRPr="00DC01CC">
        <w:rPr>
          <w:rFonts w:cstheme="minorHAnsi"/>
          <w:highlight w:val="yellow"/>
        </w:rPr>
        <w:t>]</w:t>
      </w:r>
      <w:r w:rsidR="00701D1E">
        <w:rPr>
          <w:rFonts w:cstheme="minorHAnsi"/>
        </w:rPr>
        <w:br/>
      </w:r>
      <w:r w:rsidR="00800501" w:rsidRPr="00800501">
        <w:rPr>
          <w:rFonts w:cstheme="minorHAnsi"/>
          <w:highlight w:val="yellow"/>
        </w:rPr>
        <w:t>[Title]</w:t>
      </w:r>
      <w:r w:rsidR="00701D1E">
        <w:rPr>
          <w:rFonts w:cstheme="minorHAnsi"/>
        </w:rPr>
        <w:br/>
      </w:r>
      <w:r w:rsidR="00653F28" w:rsidRPr="00DC01CC">
        <w:rPr>
          <w:rFonts w:cstheme="minorHAnsi"/>
          <w:highlight w:val="yellow"/>
        </w:rPr>
        <w:t>[Organization]</w:t>
      </w:r>
    </w:p>
    <w:sectPr w:rsidR="00547EAB" w:rsidRPr="00573435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1107" w14:textId="77777777" w:rsidR="00AB436A" w:rsidRDefault="00AB436A" w:rsidP="00197CE8">
      <w:r>
        <w:separator/>
      </w:r>
    </w:p>
  </w:endnote>
  <w:endnote w:type="continuationSeparator" w:id="0">
    <w:p w14:paraId="2EDE3162" w14:textId="77777777" w:rsidR="00AB436A" w:rsidRDefault="00AB436A" w:rsidP="00197CE8">
      <w:r>
        <w:continuationSeparator/>
      </w:r>
    </w:p>
  </w:endnote>
  <w:endnote w:type="continuationNotice" w:id="1">
    <w:p w14:paraId="6FF0A067" w14:textId="77777777" w:rsidR="00AB436A" w:rsidRDefault="00AB43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5CC9" w14:textId="1549EA41" w:rsidR="00DC01CC" w:rsidRDefault="00DC01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577563" w14:textId="77777777" w:rsidR="00DC01CC" w:rsidRDefault="00DC01CC" w:rsidP="00DC01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986899"/>
      <w:docPartObj>
        <w:docPartGallery w:val="Page Numbers (Bottom of Page)"/>
        <w:docPartUnique/>
      </w:docPartObj>
    </w:sdtPr>
    <w:sdtContent>
      <w:p w14:paraId="49334D09" w14:textId="40865E64" w:rsidR="00DC01CC" w:rsidRDefault="00DC0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392077" w14:paraId="342BAEAD" w14:textId="77777777" w:rsidTr="002B71C4">
      <w:trPr>
        <w:trHeight w:val="300"/>
      </w:trPr>
      <w:tc>
        <w:tcPr>
          <w:tcW w:w="3120" w:type="dxa"/>
        </w:tcPr>
        <w:p w14:paraId="08466028" w14:textId="50615ED8" w:rsidR="2F392077" w:rsidRDefault="2F392077" w:rsidP="00DC01CC">
          <w:pPr>
            <w:pStyle w:val="Header"/>
            <w:ind w:left="-115" w:right="360"/>
          </w:pPr>
        </w:p>
      </w:tc>
      <w:tc>
        <w:tcPr>
          <w:tcW w:w="3120" w:type="dxa"/>
        </w:tcPr>
        <w:p w14:paraId="7D2882D8" w14:textId="2893CB2A" w:rsidR="2F392077" w:rsidRDefault="2F392077" w:rsidP="002B71C4">
          <w:pPr>
            <w:pStyle w:val="Header"/>
            <w:jc w:val="center"/>
          </w:pPr>
        </w:p>
      </w:tc>
      <w:tc>
        <w:tcPr>
          <w:tcW w:w="3120" w:type="dxa"/>
        </w:tcPr>
        <w:p w14:paraId="64BA2CB6" w14:textId="4A8DA572" w:rsidR="2F392077" w:rsidRDefault="2F392077" w:rsidP="002B71C4">
          <w:pPr>
            <w:pStyle w:val="Header"/>
            <w:ind w:right="-115"/>
            <w:jc w:val="right"/>
          </w:pPr>
        </w:p>
      </w:tc>
    </w:tr>
  </w:tbl>
  <w:p w14:paraId="1D491C98" w14:textId="48D45994" w:rsidR="00C86D46" w:rsidRDefault="00C86D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8AFC" w14:textId="77777777" w:rsidR="00AB436A" w:rsidRDefault="00AB436A" w:rsidP="00197CE8">
      <w:r>
        <w:separator/>
      </w:r>
    </w:p>
  </w:footnote>
  <w:footnote w:type="continuationSeparator" w:id="0">
    <w:p w14:paraId="36431E7C" w14:textId="77777777" w:rsidR="00AB436A" w:rsidRDefault="00AB436A" w:rsidP="00197CE8">
      <w:r>
        <w:continuationSeparator/>
      </w:r>
    </w:p>
  </w:footnote>
  <w:footnote w:type="continuationNotice" w:id="1">
    <w:p w14:paraId="2681DFC6" w14:textId="77777777" w:rsidR="00AB436A" w:rsidRDefault="00AB436A"/>
  </w:footnote>
  <w:footnote w:id="2">
    <w:p w14:paraId="33D03876" w14:textId="6559D771" w:rsidR="00166675" w:rsidRPr="000E2423" w:rsidRDefault="009C6556" w:rsidP="009C6556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166675" w:rsidRPr="000E2423">
        <w:rPr>
          <w:rFonts w:cstheme="minorHAnsi"/>
          <w:i/>
          <w:iCs/>
          <w:sz w:val="16"/>
          <w:szCs w:val="16"/>
        </w:rPr>
        <w:t>See, e.g</w:t>
      </w:r>
      <w:r w:rsidR="00166675" w:rsidRPr="000E2423">
        <w:rPr>
          <w:rFonts w:cstheme="minorHAnsi"/>
          <w:sz w:val="16"/>
          <w:szCs w:val="16"/>
        </w:rPr>
        <w:t xml:space="preserve">., </w:t>
      </w:r>
      <w:r w:rsidRPr="000E2423">
        <w:rPr>
          <w:rFonts w:cstheme="minorHAnsi"/>
          <w:sz w:val="16"/>
          <w:szCs w:val="16"/>
        </w:rPr>
        <w:t xml:space="preserve">Medicare Payment Advisory Commission, “The Medicare Advantage program: Status Report” (March 2019), </w:t>
      </w:r>
      <w:hyperlink r:id="rId1" w:history="1">
        <w:r w:rsidRPr="000E2423">
          <w:rPr>
            <w:rStyle w:val="Hyperlink"/>
            <w:rFonts w:cstheme="minorHAnsi"/>
            <w:sz w:val="16"/>
            <w:szCs w:val="16"/>
          </w:rPr>
          <w:t>https://www.medpac.gov/wp-content/uploads/import_data/scrape_files/docs/default-source/reports/mar19_medpac_ch13_sec.pdf</w:t>
        </w:r>
      </w:hyperlink>
      <w:r w:rsidR="00166675" w:rsidRPr="000E2423">
        <w:rPr>
          <w:rFonts w:cstheme="minorHAnsi"/>
          <w:sz w:val="16"/>
          <w:szCs w:val="16"/>
        </w:rPr>
        <w:t xml:space="preserve">; and </w:t>
      </w:r>
      <w:r w:rsidR="007C1BDB" w:rsidRPr="000E2423">
        <w:rPr>
          <w:rFonts w:cstheme="minorHAnsi"/>
          <w:sz w:val="16"/>
          <w:szCs w:val="16"/>
        </w:rPr>
        <w:t>Medicare Payment Advisory Commission, “Medicare Payment Policy</w:t>
      </w:r>
      <w:r w:rsidR="003F700B" w:rsidRPr="000E2423">
        <w:rPr>
          <w:rFonts w:cstheme="minorHAnsi"/>
          <w:sz w:val="16"/>
          <w:szCs w:val="16"/>
        </w:rPr>
        <w:t>: Report to the Congress</w:t>
      </w:r>
      <w:r w:rsidR="007C1BDB" w:rsidRPr="000E2423">
        <w:rPr>
          <w:rFonts w:cstheme="minorHAnsi"/>
          <w:sz w:val="16"/>
          <w:szCs w:val="16"/>
        </w:rPr>
        <w:t>” (March 2</w:t>
      </w:r>
      <w:r w:rsidR="00E669A2" w:rsidRPr="000E2423">
        <w:rPr>
          <w:rFonts w:cstheme="minorHAnsi"/>
          <w:sz w:val="16"/>
          <w:szCs w:val="16"/>
        </w:rPr>
        <w:t>022</w:t>
      </w:r>
      <w:r w:rsidR="007C1BDB" w:rsidRPr="000E2423">
        <w:rPr>
          <w:rFonts w:cstheme="minorHAnsi"/>
          <w:sz w:val="16"/>
          <w:szCs w:val="16"/>
        </w:rPr>
        <w:t xml:space="preserve">), </w:t>
      </w:r>
      <w:hyperlink r:id="rId2" w:history="1">
        <w:r w:rsidR="00166675" w:rsidRPr="000E2423">
          <w:rPr>
            <w:rStyle w:val="Hyperlink"/>
            <w:rFonts w:cstheme="minorHAnsi"/>
            <w:sz w:val="16"/>
            <w:szCs w:val="16"/>
          </w:rPr>
          <w:t>https://www.medpac.gov/wp-content/uploads/2022/03/Mar22_MedPAC_ReportToCongress_SEC.pdf</w:t>
        </w:r>
      </w:hyperlink>
      <w:r w:rsidR="00E669A2" w:rsidRPr="000E2423">
        <w:rPr>
          <w:rStyle w:val="Hyperlink"/>
          <w:rFonts w:cstheme="minorHAnsi"/>
          <w:sz w:val="16"/>
          <w:szCs w:val="16"/>
        </w:rPr>
        <w:t>.</w:t>
      </w:r>
    </w:p>
  </w:footnote>
  <w:footnote w:id="3">
    <w:p w14:paraId="59709024" w14:textId="03D9F931" w:rsidR="005F7867" w:rsidRPr="000E2423" w:rsidRDefault="00134363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E051D7" w:rsidRPr="000E2423">
        <w:rPr>
          <w:rFonts w:cstheme="minorHAnsi"/>
          <w:i/>
          <w:iCs/>
          <w:sz w:val="16"/>
          <w:szCs w:val="16"/>
        </w:rPr>
        <w:t>See, e.g.,</w:t>
      </w:r>
      <w:r w:rsidR="001B0844" w:rsidRPr="000E2423">
        <w:rPr>
          <w:rFonts w:cstheme="minorHAnsi"/>
          <w:sz w:val="16"/>
          <w:szCs w:val="16"/>
        </w:rPr>
        <w:t xml:space="preserve"> Juliette Cubanski, </w:t>
      </w:r>
      <w:r w:rsidR="001B0844" w:rsidRPr="000E2423">
        <w:rPr>
          <w:rFonts w:cstheme="minorHAnsi"/>
          <w:i/>
          <w:iCs/>
          <w:sz w:val="16"/>
          <w:szCs w:val="16"/>
        </w:rPr>
        <w:t>et al</w:t>
      </w:r>
      <w:r w:rsidR="001B0844" w:rsidRPr="000E2423">
        <w:rPr>
          <w:rFonts w:cstheme="minorHAnsi"/>
          <w:sz w:val="16"/>
          <w:szCs w:val="16"/>
        </w:rPr>
        <w:t>., “How Much Do Medicare Beneficiaries Spend Out of Pocket on Health Care?,” Kaiser Family Foundation (November 9, 2019)</w:t>
      </w:r>
      <w:r w:rsidR="005F7867" w:rsidRPr="000E2423">
        <w:rPr>
          <w:rFonts w:cstheme="minorHAnsi"/>
          <w:sz w:val="16"/>
          <w:szCs w:val="16"/>
        </w:rPr>
        <w:t xml:space="preserve">, </w:t>
      </w:r>
      <w:hyperlink r:id="rId3" w:history="1">
        <w:r w:rsidR="005F7867" w:rsidRPr="000E2423">
          <w:rPr>
            <w:rStyle w:val="Hyperlink"/>
            <w:rFonts w:cstheme="minorHAnsi"/>
            <w:sz w:val="16"/>
            <w:szCs w:val="16"/>
          </w:rPr>
          <w:t>https://www.kff.org/medicare/issue-brief/how-much-do-medicare-beneficiaries-spend-out-of-pocket-on-health-care/</w:t>
        </w:r>
      </w:hyperlink>
    </w:p>
    <w:p w14:paraId="5E85A2C6" w14:textId="42AAEAEF" w:rsidR="00A143A6" w:rsidRPr="000E2423" w:rsidRDefault="005F7867">
      <w:pPr>
        <w:pStyle w:val="FootnoteText"/>
        <w:rPr>
          <w:rFonts w:cstheme="minorHAnsi"/>
          <w:sz w:val="16"/>
          <w:szCs w:val="16"/>
        </w:rPr>
      </w:pPr>
      <w:r w:rsidRPr="000E2423">
        <w:rPr>
          <w:rFonts w:cstheme="minorHAnsi"/>
          <w:sz w:val="16"/>
          <w:szCs w:val="16"/>
        </w:rPr>
        <w:t xml:space="preserve">And </w:t>
      </w:r>
      <w:r w:rsidR="00134363" w:rsidRPr="000E2423">
        <w:rPr>
          <w:rFonts w:cstheme="minorHAnsi"/>
          <w:sz w:val="16"/>
          <w:szCs w:val="16"/>
        </w:rPr>
        <w:t>Alex Montero, et al</w:t>
      </w:r>
      <w:r w:rsidR="003172A4" w:rsidRPr="000E2423">
        <w:rPr>
          <w:rFonts w:cstheme="minorHAnsi"/>
          <w:sz w:val="16"/>
          <w:szCs w:val="16"/>
        </w:rPr>
        <w:t xml:space="preserve">., “Americans’ Challenges with Health Care Costs” Kaiser </w:t>
      </w:r>
      <w:r w:rsidR="004A4A80" w:rsidRPr="000E2423">
        <w:rPr>
          <w:rFonts w:cstheme="minorHAnsi"/>
          <w:sz w:val="16"/>
          <w:szCs w:val="16"/>
        </w:rPr>
        <w:t>Family Foundation (July 14, 2022</w:t>
      </w:r>
      <w:r w:rsidR="003B5A06" w:rsidRPr="000E2423">
        <w:rPr>
          <w:rFonts w:cstheme="minorHAnsi"/>
          <w:sz w:val="16"/>
          <w:szCs w:val="16"/>
        </w:rPr>
        <w:t xml:space="preserve">), </w:t>
      </w:r>
      <w:hyperlink r:id="rId4" w:history="1">
        <w:r w:rsidR="00A143A6" w:rsidRPr="000E2423">
          <w:rPr>
            <w:rStyle w:val="Hyperlink"/>
            <w:rFonts w:cstheme="minorHAnsi"/>
            <w:sz w:val="16"/>
            <w:szCs w:val="16"/>
          </w:rPr>
          <w:t>https://www.kff.org/health-costs/issue-brief/americans-challenges-with-health-care-costs/</w:t>
        </w:r>
      </w:hyperlink>
      <w:r w:rsidR="00BF10C0" w:rsidRPr="000E2423">
        <w:rPr>
          <w:rFonts w:cstheme="minorHAnsi"/>
          <w:sz w:val="16"/>
          <w:szCs w:val="16"/>
        </w:rPr>
        <w:t>.</w:t>
      </w:r>
    </w:p>
  </w:footnote>
  <w:footnote w:id="4">
    <w:p w14:paraId="4C43365B" w14:textId="4FA1B080" w:rsidR="00B7100F" w:rsidRPr="000E2423" w:rsidRDefault="00D35CB0" w:rsidP="00B7100F">
      <w:pPr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B7100F" w:rsidRPr="000E2423">
        <w:rPr>
          <w:rFonts w:cstheme="minorHAnsi"/>
          <w:sz w:val="16"/>
          <w:szCs w:val="16"/>
        </w:rPr>
        <w:t xml:space="preserve"> Shannon Shumacher, </w:t>
      </w:r>
      <w:r w:rsidR="00B7100F" w:rsidRPr="000E2423">
        <w:rPr>
          <w:rFonts w:cstheme="minorHAnsi"/>
          <w:i/>
          <w:iCs/>
          <w:sz w:val="16"/>
          <w:szCs w:val="16"/>
        </w:rPr>
        <w:t>et al</w:t>
      </w:r>
      <w:r w:rsidR="003172A4" w:rsidRPr="000E2423">
        <w:rPr>
          <w:rFonts w:cstheme="minorHAnsi"/>
          <w:i/>
          <w:iCs/>
          <w:sz w:val="16"/>
          <w:szCs w:val="16"/>
        </w:rPr>
        <w:t>.</w:t>
      </w:r>
      <w:r w:rsidR="00B7100F" w:rsidRPr="000E2423">
        <w:rPr>
          <w:rFonts w:cstheme="minorHAnsi"/>
          <w:sz w:val="16"/>
          <w:szCs w:val="16"/>
        </w:rPr>
        <w:t>, “KFF Health Tracking Poll December 2022: The Public’s Health Care Priorities for the New Congress” Kaiser Family Foundation (December 20, 2022),</w:t>
      </w:r>
      <w:r w:rsidRPr="000E2423">
        <w:rPr>
          <w:rFonts w:cstheme="minorHAnsi"/>
          <w:sz w:val="16"/>
          <w:szCs w:val="16"/>
        </w:rPr>
        <w:t xml:space="preserve"> </w:t>
      </w:r>
      <w:hyperlink r:id="rId5" w:history="1">
        <w:r w:rsidR="00B7100F" w:rsidRPr="000E2423">
          <w:rPr>
            <w:rStyle w:val="Hyperlink"/>
            <w:rFonts w:cstheme="minorHAnsi"/>
            <w:sz w:val="16"/>
            <w:szCs w:val="16"/>
          </w:rPr>
          <w:t>https://www.kff.org/health-costs/poll-finding/kff-hea</w:t>
        </w:r>
        <w:r w:rsidR="00B7100F" w:rsidRPr="000E2423">
          <w:rPr>
            <w:rStyle w:val="Hyperlink"/>
            <w:rFonts w:cstheme="minorHAnsi"/>
            <w:sz w:val="16"/>
            <w:szCs w:val="16"/>
          </w:rPr>
          <w:t>l</w:t>
        </w:r>
        <w:r w:rsidR="00B7100F" w:rsidRPr="000E2423">
          <w:rPr>
            <w:rStyle w:val="Hyperlink"/>
            <w:rFonts w:cstheme="minorHAnsi"/>
            <w:sz w:val="16"/>
            <w:szCs w:val="16"/>
          </w:rPr>
          <w:t>th-tracking-poll-december-2022/</w:t>
        </w:r>
      </w:hyperlink>
      <w:r w:rsidR="00B7100F" w:rsidRPr="000E2423">
        <w:rPr>
          <w:rFonts w:cstheme="minorHAnsi"/>
          <w:sz w:val="16"/>
          <w:szCs w:val="16"/>
        </w:rPr>
        <w:t>.</w:t>
      </w:r>
    </w:p>
  </w:footnote>
  <w:footnote w:id="5">
    <w:p w14:paraId="6FE0FA1E" w14:textId="08FCEC0E" w:rsidR="00D35CB0" w:rsidRPr="000E2423" w:rsidRDefault="00D35CB0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B7100F" w:rsidRPr="000E2423">
        <w:rPr>
          <w:rFonts w:cstheme="minorHAnsi"/>
          <w:sz w:val="16"/>
          <w:szCs w:val="16"/>
        </w:rPr>
        <w:t>West-Health and Gallup, “</w:t>
      </w:r>
      <w:r w:rsidRPr="000E2423">
        <w:rPr>
          <w:rFonts w:cstheme="minorHAnsi"/>
          <w:sz w:val="16"/>
          <w:szCs w:val="16"/>
        </w:rPr>
        <w:t>2022 Healthcare in America Report</w:t>
      </w:r>
      <w:r w:rsidR="00B7100F" w:rsidRPr="000E2423">
        <w:rPr>
          <w:rFonts w:cstheme="minorHAnsi"/>
          <w:sz w:val="16"/>
          <w:szCs w:val="16"/>
        </w:rPr>
        <w:t>” (October 6, 2022),</w:t>
      </w:r>
      <w:r w:rsidRPr="000E2423">
        <w:rPr>
          <w:rFonts w:cstheme="minorHAnsi"/>
          <w:sz w:val="16"/>
          <w:szCs w:val="16"/>
        </w:rPr>
        <w:t xml:space="preserve"> </w:t>
      </w:r>
      <w:hyperlink r:id="rId6" w:history="1">
        <w:r w:rsidRPr="000E2423">
          <w:rPr>
            <w:rStyle w:val="Hyperlink"/>
            <w:rFonts w:cstheme="minorHAnsi"/>
            <w:sz w:val="16"/>
            <w:szCs w:val="16"/>
          </w:rPr>
          <w:t>https://s8637.pcdn.co/wp-content/uploads/2022/10/2022-Healthcare-in-America.pdf</w:t>
        </w:r>
      </w:hyperlink>
      <w:r w:rsidR="00B7100F" w:rsidRPr="000E2423">
        <w:rPr>
          <w:rFonts w:cstheme="minorHAnsi"/>
          <w:sz w:val="16"/>
          <w:szCs w:val="16"/>
        </w:rPr>
        <w:t>.</w:t>
      </w:r>
    </w:p>
  </w:footnote>
  <w:footnote w:id="6">
    <w:p w14:paraId="66CD2E35" w14:textId="69F8887C" w:rsidR="00450D81" w:rsidRPr="000E242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EB5E3D" w:rsidRPr="000E2423">
        <w:rPr>
          <w:rFonts w:cstheme="minorHAnsi"/>
          <w:sz w:val="16"/>
          <w:szCs w:val="16"/>
        </w:rPr>
        <w:t xml:space="preserve"> U.S. Government Accountability Office, “Medicare Advantage: Fundamental Improvements Needed in CMS’s Effort to Recover Substantial Amounts of Improper Payments” (</w:t>
      </w:r>
      <w:r w:rsidR="00E21C51" w:rsidRPr="000E2423">
        <w:rPr>
          <w:rFonts w:cstheme="minorHAnsi"/>
          <w:sz w:val="16"/>
          <w:szCs w:val="16"/>
        </w:rPr>
        <w:t xml:space="preserve">April 2016), </w:t>
      </w:r>
      <w:r w:rsidRPr="000E2423">
        <w:rPr>
          <w:rFonts w:cstheme="minorHAnsi"/>
          <w:sz w:val="16"/>
          <w:szCs w:val="16"/>
        </w:rPr>
        <w:t xml:space="preserve"> </w:t>
      </w:r>
      <w:hyperlink r:id="rId7" w:history="1">
        <w:r w:rsidRPr="000E2423">
          <w:rPr>
            <w:rStyle w:val="Hyperlink"/>
            <w:rFonts w:cstheme="minorHAnsi"/>
            <w:sz w:val="16"/>
            <w:szCs w:val="16"/>
          </w:rPr>
          <w:t>https://www.gao.gov/assets/gao-16-76.pdf</w:t>
        </w:r>
      </w:hyperlink>
      <w:r w:rsidR="00E21C51" w:rsidRPr="000E242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7">
    <w:p w14:paraId="68728224" w14:textId="7E98EE1C" w:rsidR="00450D81" w:rsidRPr="000E242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756102" w:rsidRPr="000E2423">
        <w:rPr>
          <w:rFonts w:cstheme="minorHAnsi"/>
          <w:sz w:val="16"/>
          <w:szCs w:val="16"/>
        </w:rPr>
        <w:t xml:space="preserve"> Richard Gilfillan and Donald M. Berwick, “Medicare Advantage, Direct Contracting, And the Medicare ‘Money Machine,’ Part 1: The Risk-Score Game”</w:t>
      </w:r>
      <w:r w:rsidR="00E55683" w:rsidRPr="000E2423">
        <w:rPr>
          <w:rFonts w:cstheme="minorHAnsi"/>
          <w:sz w:val="16"/>
          <w:szCs w:val="16"/>
        </w:rPr>
        <w:t xml:space="preserve"> Health Affairs</w:t>
      </w:r>
      <w:r w:rsidR="00756102" w:rsidRPr="000E2423">
        <w:rPr>
          <w:rFonts w:cstheme="minorHAnsi"/>
          <w:sz w:val="16"/>
          <w:szCs w:val="16"/>
        </w:rPr>
        <w:t xml:space="preserve"> (September 29, 2021), </w:t>
      </w:r>
      <w:hyperlink r:id="rId8" w:history="1">
        <w:r w:rsidR="00575B7E" w:rsidRPr="000E2423">
          <w:rPr>
            <w:rStyle w:val="Hyperlink"/>
            <w:rFonts w:cstheme="minorHAnsi"/>
            <w:sz w:val="16"/>
            <w:szCs w:val="16"/>
          </w:rPr>
          <w:t>https://www.healthaffairs.org/do/10.1377/forefront.20210927.6239/</w:t>
        </w:r>
      </w:hyperlink>
      <w:r w:rsidR="00756102" w:rsidRPr="000E242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8">
    <w:p w14:paraId="0BF78595" w14:textId="584955C8" w:rsidR="00450D81" w:rsidRPr="000E2423" w:rsidRDefault="00450D81" w:rsidP="00450D81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756102" w:rsidRPr="000E2423">
        <w:rPr>
          <w:rFonts w:cstheme="minorHAnsi"/>
          <w:sz w:val="16"/>
          <w:szCs w:val="16"/>
        </w:rPr>
        <w:t xml:space="preserve"> Fred Schulte, “</w:t>
      </w:r>
      <w:r w:rsidR="00CA5C4F" w:rsidRPr="000E2423">
        <w:rPr>
          <w:rFonts w:cstheme="minorHAnsi"/>
          <w:sz w:val="16"/>
          <w:szCs w:val="16"/>
        </w:rPr>
        <w:t>Government Lets Health Plans That Ripped Off Medicare Keep the Money” Kaiser Health News (January 30, 2023),</w:t>
      </w:r>
      <w:r w:rsidRPr="000E2423">
        <w:rPr>
          <w:rFonts w:cstheme="minorHAnsi"/>
          <w:sz w:val="16"/>
          <w:szCs w:val="16"/>
        </w:rPr>
        <w:t xml:space="preserve"> </w:t>
      </w:r>
      <w:hyperlink r:id="rId9" w:history="1">
        <w:r w:rsidRPr="000E2423">
          <w:rPr>
            <w:rStyle w:val="Hyperlink"/>
            <w:rFonts w:cstheme="minorHAnsi"/>
            <w:sz w:val="16"/>
            <w:szCs w:val="16"/>
          </w:rPr>
          <w:t>https://khn.org/news/article/cms-audits-medicare-advantage-plans-can-keep-hundreds-of-millions-in-federal-overpayments-maybe-more/</w:t>
        </w:r>
      </w:hyperlink>
      <w:r w:rsidR="00CA5C4F" w:rsidRPr="000E2423">
        <w:rPr>
          <w:rStyle w:val="Hyperlink"/>
          <w:rFonts w:cstheme="minorHAnsi"/>
          <w:sz w:val="16"/>
          <w:szCs w:val="16"/>
          <w:u w:val="none"/>
        </w:rPr>
        <w:t>.</w:t>
      </w:r>
    </w:p>
  </w:footnote>
  <w:footnote w:id="9">
    <w:p w14:paraId="3895D9E0" w14:textId="77777777" w:rsidR="00E10904" w:rsidRPr="000E2423" w:rsidRDefault="00E10904" w:rsidP="00E10904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86 FR 16440, 16491.</w:t>
      </w:r>
    </w:p>
  </w:footnote>
  <w:footnote w:id="10">
    <w:p w14:paraId="59F38A44" w14:textId="36489423" w:rsidR="00E10904" w:rsidRPr="000E2423" w:rsidRDefault="00E10904" w:rsidP="00E10904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BA0B71" w:rsidRPr="000E2423">
        <w:rPr>
          <w:rFonts w:cstheme="minorHAnsi"/>
          <w:i/>
          <w:sz w:val="16"/>
          <w:szCs w:val="16"/>
        </w:rPr>
        <w:t>See, e.g.</w:t>
      </w:r>
      <w:r w:rsidR="00BA0B71" w:rsidRPr="000E2423">
        <w:rPr>
          <w:rFonts w:cstheme="minorHAnsi"/>
          <w:sz w:val="16"/>
          <w:szCs w:val="16"/>
        </w:rPr>
        <w:t>,</w:t>
      </w:r>
      <w:r w:rsidRPr="000E2423">
        <w:rPr>
          <w:rFonts w:cstheme="minorHAnsi"/>
          <w:sz w:val="16"/>
          <w:szCs w:val="16"/>
        </w:rPr>
        <w:t xml:space="preserve"> Paige Minemyer, “2022 forecast: Medicare Advantage is the industry's hottest market. Don't expect that to change next year” Fierce Healthcare (December 22, 2021), </w:t>
      </w:r>
      <w:hyperlink r:id="rId10" w:history="1">
        <w:r w:rsidRPr="000E2423">
          <w:rPr>
            <w:rStyle w:val="Hyperlink"/>
            <w:rFonts w:cstheme="minorHAnsi"/>
            <w:sz w:val="16"/>
            <w:szCs w:val="16"/>
          </w:rPr>
          <w:t>https://www.fiercehealthcare.com/payer/medicare-advantage-industry-s-hottest-market-2022-don-t-expect-to-change</w:t>
        </w:r>
      </w:hyperlink>
      <w:r w:rsidR="00491AD2" w:rsidRPr="000E2423">
        <w:rPr>
          <w:rFonts w:cstheme="minorHAnsi"/>
          <w:sz w:val="16"/>
          <w:szCs w:val="16"/>
        </w:rPr>
        <w:t xml:space="preserve"> and</w:t>
      </w:r>
      <w:r w:rsidR="00E3042C" w:rsidRPr="000E2423">
        <w:rPr>
          <w:rFonts w:cstheme="minorHAnsi"/>
          <w:sz w:val="16"/>
          <w:szCs w:val="16"/>
        </w:rPr>
        <w:t xml:space="preserve"> </w:t>
      </w:r>
      <w:r w:rsidR="004D333B" w:rsidRPr="000E2423">
        <w:rPr>
          <w:rFonts w:cstheme="minorHAnsi"/>
          <w:sz w:val="16"/>
          <w:szCs w:val="16"/>
        </w:rPr>
        <w:t xml:space="preserve">Jared Ortaliza, </w:t>
      </w:r>
      <w:r w:rsidR="004D333B" w:rsidRPr="000E2423">
        <w:rPr>
          <w:rFonts w:cstheme="minorHAnsi"/>
          <w:i/>
          <w:iCs/>
          <w:sz w:val="16"/>
          <w:szCs w:val="16"/>
        </w:rPr>
        <w:t>et al</w:t>
      </w:r>
      <w:r w:rsidR="004D333B" w:rsidRPr="000E2423">
        <w:rPr>
          <w:rFonts w:cstheme="minorHAnsi"/>
          <w:sz w:val="16"/>
          <w:szCs w:val="16"/>
        </w:rPr>
        <w:t xml:space="preserve">., “Health Insurer Financial Performance in 2021” Kaiser Family Foundation (February 28, 2023), </w:t>
      </w:r>
      <w:hyperlink r:id="rId11" w:history="1">
        <w:r w:rsidR="004D333B" w:rsidRPr="000E2423">
          <w:rPr>
            <w:rStyle w:val="Hyperlink"/>
            <w:rFonts w:cstheme="minorHAnsi"/>
            <w:sz w:val="16"/>
            <w:szCs w:val="16"/>
          </w:rPr>
          <w:t>https://www.kff.org/medicare/issue-brief/health-insurer-financial-performance/</w:t>
        </w:r>
      </w:hyperlink>
      <w:r w:rsidRPr="000E2423" w:rsidDel="00BA0B71">
        <w:rPr>
          <w:rFonts w:cstheme="minorHAnsi"/>
          <w:sz w:val="16"/>
          <w:szCs w:val="16"/>
        </w:rPr>
        <w:t>.</w:t>
      </w:r>
    </w:p>
  </w:footnote>
  <w:footnote w:id="11">
    <w:p w14:paraId="3EE679E9" w14:textId="1967C7E0" w:rsidR="00424C77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AB315A" w:rsidRPr="000E2423">
        <w:rPr>
          <w:rFonts w:cstheme="minorHAnsi"/>
          <w:sz w:val="16"/>
          <w:szCs w:val="16"/>
        </w:rPr>
        <w:t xml:space="preserve">Meredith Freed, </w:t>
      </w:r>
      <w:r w:rsidR="00AB315A" w:rsidRPr="000E2423">
        <w:rPr>
          <w:rFonts w:cstheme="minorHAnsi"/>
          <w:i/>
          <w:iCs/>
          <w:sz w:val="16"/>
          <w:szCs w:val="16"/>
        </w:rPr>
        <w:t>et al</w:t>
      </w:r>
      <w:r w:rsidR="00AB315A" w:rsidRPr="000E2423">
        <w:rPr>
          <w:rFonts w:cstheme="minorHAnsi"/>
          <w:sz w:val="16"/>
          <w:szCs w:val="16"/>
        </w:rPr>
        <w:t>., “Medicare Advantage 2023 Spotlight: First Look”</w:t>
      </w:r>
      <w:r w:rsidR="007D39DB" w:rsidRPr="000E2423">
        <w:rPr>
          <w:rFonts w:cstheme="minorHAnsi"/>
          <w:sz w:val="16"/>
          <w:szCs w:val="16"/>
        </w:rPr>
        <w:t xml:space="preserve"> </w:t>
      </w:r>
      <w:r w:rsidR="00AB315A" w:rsidRPr="000E2423">
        <w:rPr>
          <w:rFonts w:cstheme="minorHAnsi"/>
          <w:sz w:val="16"/>
          <w:szCs w:val="16"/>
        </w:rPr>
        <w:t xml:space="preserve">Kaiser Family Foundation (November 10, 2022), </w:t>
      </w:r>
      <w:hyperlink r:id="rId12" w:history="1">
        <w:r w:rsidR="00AB315A" w:rsidRPr="000E2423">
          <w:rPr>
            <w:rStyle w:val="Hyperlink"/>
            <w:rFonts w:cstheme="minorHAnsi"/>
            <w:sz w:val="16"/>
            <w:szCs w:val="16"/>
          </w:rPr>
          <w:t>https://www.kff.org/medicare/issue-brief/medicare-advantage-2023-spotlight-first-look/</w:t>
        </w:r>
      </w:hyperlink>
      <w:r w:rsidR="00AB315A" w:rsidRPr="000E2423">
        <w:rPr>
          <w:rFonts w:cstheme="minorHAnsi"/>
          <w:sz w:val="16"/>
          <w:szCs w:val="16"/>
        </w:rPr>
        <w:t>.</w:t>
      </w:r>
    </w:p>
  </w:footnote>
  <w:footnote w:id="12">
    <w:p w14:paraId="47B81832" w14:textId="0162EA4C" w:rsidR="00A51E2F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9B5F3A" w:rsidRPr="000E2423">
        <w:rPr>
          <w:rFonts w:cstheme="minorHAnsi"/>
          <w:i/>
          <w:iCs/>
          <w:sz w:val="16"/>
          <w:szCs w:val="16"/>
        </w:rPr>
        <w:t>Id.</w:t>
      </w:r>
    </w:p>
  </w:footnote>
  <w:footnote w:id="13">
    <w:p w14:paraId="705942D9" w14:textId="7DC1A873" w:rsidR="007D39DB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FD4DD4" w:rsidRPr="000E2423">
        <w:rPr>
          <w:rFonts w:cstheme="minorHAnsi"/>
          <w:sz w:val="16"/>
          <w:szCs w:val="16"/>
        </w:rPr>
        <w:t>Congressional Budget Office, “Baseline Projections</w:t>
      </w:r>
      <w:r w:rsidR="007D39DB" w:rsidRPr="000E2423">
        <w:rPr>
          <w:rFonts w:cstheme="minorHAnsi"/>
          <w:sz w:val="16"/>
          <w:szCs w:val="16"/>
        </w:rPr>
        <w:t xml:space="preserve">” (May 2022), </w:t>
      </w:r>
      <w:hyperlink r:id="rId13" w:history="1">
        <w:r w:rsidR="007D39DB" w:rsidRPr="000E2423">
          <w:rPr>
            <w:rStyle w:val="Hyperlink"/>
            <w:rFonts w:cstheme="minorHAnsi"/>
            <w:sz w:val="16"/>
            <w:szCs w:val="16"/>
          </w:rPr>
          <w:t>https://www.cbo.gov/system/files?file=2022-05/51302-2022-05-medicare.pdf</w:t>
        </w:r>
      </w:hyperlink>
      <w:r w:rsidR="007D39DB" w:rsidRPr="000E2423">
        <w:rPr>
          <w:rFonts w:cstheme="minorHAnsi"/>
          <w:sz w:val="16"/>
          <w:szCs w:val="16"/>
        </w:rPr>
        <w:t>.</w:t>
      </w:r>
    </w:p>
  </w:footnote>
  <w:footnote w:id="14">
    <w:p w14:paraId="6751410F" w14:textId="76CC9361" w:rsidR="00424C77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Jeannie </w:t>
      </w:r>
      <w:r w:rsidR="6D8B429A" w:rsidRPr="000E2423">
        <w:rPr>
          <w:rFonts w:cstheme="minorHAnsi"/>
          <w:sz w:val="16"/>
          <w:szCs w:val="16"/>
        </w:rPr>
        <w:t>Fuglesten</w:t>
      </w:r>
      <w:r w:rsidRPr="000E2423">
        <w:rPr>
          <w:rFonts w:cstheme="minorHAnsi"/>
          <w:sz w:val="16"/>
          <w:szCs w:val="16"/>
        </w:rPr>
        <w:t xml:space="preserve"> Biniek, </w:t>
      </w:r>
      <w:r w:rsidRPr="000E2423">
        <w:rPr>
          <w:rFonts w:cstheme="minorHAnsi"/>
          <w:i/>
          <w:sz w:val="16"/>
          <w:szCs w:val="16"/>
        </w:rPr>
        <w:t>et al</w:t>
      </w:r>
      <w:r w:rsidRPr="000E2423">
        <w:rPr>
          <w:rFonts w:cstheme="minorHAnsi"/>
          <w:sz w:val="16"/>
          <w:szCs w:val="16"/>
        </w:rPr>
        <w:t xml:space="preserve">., “The Growth in Share of Medicare Advantage Spending” Kaiser Family Foundation (April 7, 2022), </w:t>
      </w:r>
      <w:hyperlink r:id="rId14" w:history="1">
        <w:r w:rsidRPr="000E2423">
          <w:rPr>
            <w:rStyle w:val="Hyperlink"/>
            <w:rFonts w:cstheme="minorHAnsi"/>
            <w:sz w:val="16"/>
            <w:szCs w:val="16"/>
          </w:rPr>
          <w:t>https://www.kff.org/medicare/slide/the-growth-in-share-of-medicare-advantage-spending/</w:t>
        </w:r>
      </w:hyperlink>
      <w:r w:rsidRPr="000E2423">
        <w:rPr>
          <w:rFonts w:cstheme="minorHAnsi"/>
          <w:sz w:val="16"/>
          <w:szCs w:val="16"/>
        </w:rPr>
        <w:t>.</w:t>
      </w:r>
    </w:p>
  </w:footnote>
  <w:footnote w:id="15">
    <w:p w14:paraId="3339C3ED" w14:textId="7F584DB0" w:rsidR="00424C77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Jeannie Fuglesten Biniek, </w:t>
      </w:r>
      <w:r w:rsidRPr="000E2423">
        <w:rPr>
          <w:rFonts w:cstheme="minorHAnsi"/>
          <w:i/>
          <w:sz w:val="16"/>
          <w:szCs w:val="16"/>
        </w:rPr>
        <w:t>et al.</w:t>
      </w:r>
      <w:r w:rsidRPr="000E2423">
        <w:rPr>
          <w:rFonts w:cstheme="minorHAnsi"/>
          <w:sz w:val="16"/>
          <w:szCs w:val="16"/>
        </w:rPr>
        <w:t xml:space="preserve">, “Higher and Faster Growing Spending Per Medicare Advantage Enrollee Adds to Medicare's Solvency and Affordability Challenges” Kaiser Family Foundation (August 17, 2021), </w:t>
      </w:r>
      <w:hyperlink r:id="rId15" w:history="1">
        <w:r w:rsidRPr="000E2423">
          <w:rPr>
            <w:rStyle w:val="Hyperlink"/>
            <w:rFonts w:cstheme="minorHAnsi"/>
            <w:sz w:val="16"/>
            <w:szCs w:val="16"/>
          </w:rPr>
          <w:t>https://www.kff.org/medicare/issue-brief/higher-and-faster-growing-spending-per-medicare-advantage-enrollee-adds-to-medicares-solvency-and-affordability-challenges/</w:t>
        </w:r>
      </w:hyperlink>
      <w:r w:rsidRPr="000E2423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.</w:t>
      </w:r>
    </w:p>
  </w:footnote>
  <w:footnote w:id="16">
    <w:p w14:paraId="5C7C81DA" w14:textId="4F5466B8" w:rsidR="004246A2" w:rsidRPr="000E2423" w:rsidRDefault="00424C77" w:rsidP="00424C7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Medicare Payment Advisory Commission, “Medicare and the Health Care Delivery System: Report to the Congress” (June 2021), </w:t>
      </w:r>
      <w:hyperlink r:id="rId16" w:history="1">
        <w:r w:rsidR="000E5140" w:rsidRPr="000E2423">
          <w:rPr>
            <w:rStyle w:val="Hyperlink"/>
            <w:rFonts w:cstheme="minorHAnsi"/>
            <w:sz w:val="16"/>
            <w:szCs w:val="16"/>
          </w:rPr>
          <w:t>https://www.medpac.gov/document/june-2021-report-to-the-congress-medicare-and-the-health-care-delivery-system/</w:t>
        </w:r>
      </w:hyperlink>
      <w:r w:rsidR="000E5140" w:rsidRPr="000E2423">
        <w:rPr>
          <w:rFonts w:cstheme="minorHAnsi"/>
          <w:sz w:val="16"/>
          <w:szCs w:val="16"/>
        </w:rPr>
        <w:t>.</w:t>
      </w:r>
    </w:p>
  </w:footnote>
  <w:footnote w:id="17">
    <w:p w14:paraId="410F7928" w14:textId="73F57955" w:rsidR="002F17BE" w:rsidRPr="000E2423" w:rsidRDefault="002F17BE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106CB5" w:rsidRPr="000E2423">
        <w:rPr>
          <w:rFonts w:cstheme="minorHAnsi"/>
          <w:sz w:val="16"/>
          <w:szCs w:val="16"/>
        </w:rPr>
        <w:t xml:space="preserve"> Better Medicare Alliance, “</w:t>
      </w:r>
      <w:r w:rsidR="00A55397" w:rsidRPr="000E2423">
        <w:rPr>
          <w:rFonts w:cstheme="minorHAnsi"/>
          <w:sz w:val="16"/>
          <w:szCs w:val="16"/>
        </w:rPr>
        <w:t>Biden Administration Proposal Could Reduce Medicare Advantage Benefits By $540 Per Beneficiary in 2024, Independent Analysis Finds” (February 15, 2023),</w:t>
      </w:r>
      <w:r w:rsidRPr="000E2423">
        <w:rPr>
          <w:rFonts w:cstheme="minorHAnsi"/>
          <w:sz w:val="16"/>
          <w:szCs w:val="16"/>
        </w:rPr>
        <w:t xml:space="preserve"> </w:t>
      </w:r>
      <w:hyperlink r:id="rId17" w:history="1">
        <w:r w:rsidRPr="000E2423">
          <w:rPr>
            <w:rStyle w:val="Hyperlink"/>
            <w:rFonts w:cstheme="minorHAnsi"/>
            <w:sz w:val="16"/>
            <w:szCs w:val="16"/>
          </w:rPr>
          <w:t>https://bettermedicarealliance.org/news/biden-administration-proposal-could-reduce-medicare-advantage-benefits-by-540-per-beneficiary-in-2024-independent-analysis-finds/</w:t>
        </w:r>
      </w:hyperlink>
      <w:r w:rsidR="009B5BA6" w:rsidRPr="000E2423">
        <w:rPr>
          <w:rFonts w:cstheme="minorHAnsi"/>
          <w:sz w:val="16"/>
          <w:szCs w:val="16"/>
        </w:rPr>
        <w:t>.</w:t>
      </w:r>
    </w:p>
  </w:footnote>
  <w:footnote w:id="18">
    <w:p w14:paraId="08529093" w14:textId="59E5CDA3" w:rsidR="00367ED5" w:rsidRPr="000E2423" w:rsidRDefault="00D478BE" w:rsidP="00367ED5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367ED5" w:rsidRPr="000E2423">
        <w:rPr>
          <w:rFonts w:cstheme="minorHAnsi"/>
          <w:sz w:val="16"/>
          <w:szCs w:val="16"/>
        </w:rPr>
        <w:t xml:space="preserve"> Jeannie Fug</w:t>
      </w:r>
      <w:r w:rsidR="00B7220A">
        <w:rPr>
          <w:rFonts w:cstheme="minorHAnsi"/>
          <w:sz w:val="16"/>
          <w:szCs w:val="16"/>
        </w:rPr>
        <w:t>les</w:t>
      </w:r>
      <w:r w:rsidR="00367ED5" w:rsidRPr="000E2423">
        <w:rPr>
          <w:rFonts w:cstheme="minorHAnsi"/>
          <w:sz w:val="16"/>
          <w:szCs w:val="16"/>
        </w:rPr>
        <w:t xml:space="preserve">ten Biniek, </w:t>
      </w:r>
      <w:r w:rsidR="00367ED5" w:rsidRPr="000E2423">
        <w:rPr>
          <w:rFonts w:cstheme="minorHAnsi"/>
          <w:i/>
          <w:iCs/>
          <w:sz w:val="16"/>
          <w:szCs w:val="16"/>
        </w:rPr>
        <w:t>et al</w:t>
      </w:r>
      <w:r w:rsidR="00367ED5" w:rsidRPr="000E2423">
        <w:rPr>
          <w:rFonts w:cstheme="minorHAnsi"/>
          <w:sz w:val="16"/>
          <w:szCs w:val="16"/>
        </w:rPr>
        <w:t xml:space="preserve">., “Extra Benefits Offered by Medicare Advantage Firms Vary” Kaiser Family Foundation (November 16, 2022), </w:t>
      </w:r>
    </w:p>
    <w:p w14:paraId="685A177A" w14:textId="53F40BBD" w:rsidR="00764978" w:rsidRPr="000E2423" w:rsidRDefault="00D478BE" w:rsidP="00D478BE">
      <w:pPr>
        <w:pStyle w:val="FootnoteText"/>
        <w:rPr>
          <w:rFonts w:cstheme="minorHAnsi"/>
          <w:sz w:val="16"/>
          <w:szCs w:val="16"/>
        </w:rPr>
      </w:pPr>
      <w:r w:rsidRPr="000E2423">
        <w:rPr>
          <w:rFonts w:cstheme="minorHAnsi"/>
          <w:sz w:val="16"/>
          <w:szCs w:val="16"/>
        </w:rPr>
        <w:t xml:space="preserve"> </w:t>
      </w:r>
      <w:hyperlink r:id="rId18" w:history="1">
        <w:r w:rsidR="00764978" w:rsidRPr="000E2423">
          <w:rPr>
            <w:rStyle w:val="Hyperlink"/>
            <w:rFonts w:cstheme="minorHAnsi"/>
            <w:sz w:val="16"/>
            <w:szCs w:val="16"/>
          </w:rPr>
          <w:t>https://www.kff.org/medicare/issue-brief/extra-benefits-offered-by-medicare-advantage-firms-varies/</w:t>
        </w:r>
      </w:hyperlink>
      <w:r w:rsidR="00367ED5" w:rsidRPr="000E2423">
        <w:rPr>
          <w:rFonts w:cstheme="minorHAnsi"/>
          <w:sz w:val="16"/>
          <w:szCs w:val="16"/>
        </w:rPr>
        <w:t>.</w:t>
      </w:r>
    </w:p>
  </w:footnote>
  <w:footnote w:id="19">
    <w:p w14:paraId="20229CD5" w14:textId="4AF94BB0" w:rsidR="00D478BE" w:rsidRPr="000E2423" w:rsidRDefault="00D478BE" w:rsidP="00D478BE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8C18D9" w:rsidRPr="000E2423">
        <w:rPr>
          <w:rFonts w:cstheme="minorHAnsi"/>
          <w:sz w:val="16"/>
          <w:szCs w:val="16"/>
        </w:rPr>
        <w:t xml:space="preserve"> </w:t>
      </w:r>
      <w:r w:rsidR="00BC1512" w:rsidRPr="000E2423">
        <w:rPr>
          <w:rFonts w:cstheme="minorHAnsi"/>
          <w:sz w:val="16"/>
          <w:szCs w:val="16"/>
        </w:rPr>
        <w:t xml:space="preserve">Faith Leonard, </w:t>
      </w:r>
      <w:r w:rsidR="00BC1512" w:rsidRPr="000E2423">
        <w:rPr>
          <w:rFonts w:cstheme="minorHAnsi"/>
          <w:i/>
          <w:iCs/>
          <w:sz w:val="16"/>
          <w:szCs w:val="16"/>
        </w:rPr>
        <w:t>et al</w:t>
      </w:r>
      <w:r w:rsidR="00BC1512" w:rsidRPr="000E2423">
        <w:rPr>
          <w:rFonts w:cstheme="minorHAnsi"/>
          <w:sz w:val="16"/>
          <w:szCs w:val="16"/>
        </w:rPr>
        <w:t>., “</w:t>
      </w:r>
      <w:r w:rsidR="008C18D9" w:rsidRPr="000E2423">
        <w:rPr>
          <w:rFonts w:cstheme="minorHAnsi"/>
          <w:sz w:val="16"/>
          <w:szCs w:val="16"/>
        </w:rPr>
        <w:t>Traditional Medicare or Medicare Advantage: How Older Americans Choose and Why” The Commonwealth Fund (October 17, 2022),</w:t>
      </w:r>
      <w:r w:rsidRPr="000E2423">
        <w:rPr>
          <w:rFonts w:cstheme="minorHAnsi"/>
          <w:sz w:val="16"/>
          <w:szCs w:val="16"/>
        </w:rPr>
        <w:t xml:space="preserve"> </w:t>
      </w:r>
      <w:hyperlink r:id="rId19" w:history="1">
        <w:r w:rsidRPr="000E2423">
          <w:rPr>
            <w:rStyle w:val="Hyperlink"/>
            <w:rFonts w:cstheme="minorHAnsi"/>
            <w:sz w:val="16"/>
            <w:szCs w:val="16"/>
          </w:rPr>
          <w:t>https://www.commonwealthfund.org/publications/issue-briefs/2022/oct/traditional-medicare-or-advantage-how-older-americans-choose</w:t>
        </w:r>
      </w:hyperlink>
      <w:r w:rsidR="008C18D9" w:rsidRPr="000E2423">
        <w:rPr>
          <w:rFonts w:cstheme="minorHAnsi"/>
          <w:sz w:val="16"/>
          <w:szCs w:val="16"/>
        </w:rPr>
        <w:t>.</w:t>
      </w:r>
    </w:p>
  </w:footnote>
  <w:footnote w:id="20">
    <w:p w14:paraId="366FD5A2" w14:textId="58D98391" w:rsidR="00B909C5" w:rsidRPr="000E2423" w:rsidRDefault="00B909C5" w:rsidP="00B909C5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Jared Ortaliza, </w:t>
      </w:r>
      <w:r w:rsidRPr="000E2423">
        <w:rPr>
          <w:rFonts w:cstheme="minorHAnsi"/>
          <w:i/>
          <w:iCs/>
          <w:sz w:val="16"/>
          <w:szCs w:val="16"/>
        </w:rPr>
        <w:t>et al</w:t>
      </w:r>
      <w:r w:rsidRPr="000E2423">
        <w:rPr>
          <w:rFonts w:cstheme="minorHAnsi"/>
          <w:sz w:val="16"/>
          <w:szCs w:val="16"/>
        </w:rPr>
        <w:t xml:space="preserve">., “Health Insurer Financial Performance in 2021” Kaiser Family Foundation (February 28, 2023), </w:t>
      </w:r>
      <w:hyperlink r:id="rId20" w:history="1">
        <w:r w:rsidRPr="000E2423">
          <w:rPr>
            <w:rStyle w:val="Hyperlink"/>
            <w:rFonts w:cstheme="minorHAnsi"/>
            <w:sz w:val="16"/>
            <w:szCs w:val="16"/>
          </w:rPr>
          <w:t>https://www.kff.org/medicare/issue-brief/health-insurer-financial-performance/</w:t>
        </w:r>
      </w:hyperlink>
      <w:r w:rsidRPr="000E2423">
        <w:rPr>
          <w:rFonts w:cstheme="minorHAnsi"/>
          <w:sz w:val="16"/>
          <w:szCs w:val="16"/>
        </w:rPr>
        <w:t>.</w:t>
      </w:r>
    </w:p>
  </w:footnote>
  <w:footnote w:id="21">
    <w:p w14:paraId="205F1851" w14:textId="4C5A8EBC" w:rsidR="003E4BC1" w:rsidRPr="000E2423" w:rsidRDefault="003E4BC1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224BAB" w:rsidRPr="000E2423">
        <w:rPr>
          <w:rFonts w:cstheme="minorHAnsi"/>
          <w:sz w:val="16"/>
          <w:szCs w:val="16"/>
        </w:rPr>
        <w:t xml:space="preserve"> </w:t>
      </w:r>
      <w:r w:rsidR="008413E9" w:rsidRPr="000E2423">
        <w:rPr>
          <w:rFonts w:cstheme="minorHAnsi"/>
          <w:i/>
          <w:iCs/>
          <w:sz w:val="16"/>
          <w:szCs w:val="16"/>
        </w:rPr>
        <w:t>See, e.g</w:t>
      </w:r>
      <w:r w:rsidR="008413E9" w:rsidRPr="000E2423">
        <w:rPr>
          <w:rFonts w:cstheme="minorHAnsi"/>
          <w:sz w:val="16"/>
          <w:szCs w:val="16"/>
        </w:rPr>
        <w:t xml:space="preserve">., Medicare Payment Advisory Commission, “Medicare and the Health Care Delivery System: Report to the Congress” (June 2021), </w:t>
      </w:r>
      <w:r w:rsidRPr="000E2423">
        <w:rPr>
          <w:rFonts w:cstheme="minorHAnsi"/>
          <w:sz w:val="16"/>
          <w:szCs w:val="16"/>
        </w:rPr>
        <w:t xml:space="preserve"> </w:t>
      </w:r>
      <w:hyperlink r:id="rId21" w:history="1">
        <w:r w:rsidR="00491AD2" w:rsidRPr="000E2423">
          <w:rPr>
            <w:rStyle w:val="Hyperlink"/>
            <w:rFonts w:cstheme="minorHAnsi"/>
            <w:sz w:val="16"/>
            <w:szCs w:val="16"/>
          </w:rPr>
          <w:t>https://www.medpac.gov/document/june-2021-report-to-the-congress-medicare-and-the-health-care-delivery-system/</w:t>
        </w:r>
      </w:hyperlink>
      <w:r w:rsidR="00491AD2" w:rsidRPr="000E2423">
        <w:rPr>
          <w:rFonts w:cstheme="minorHAnsi"/>
          <w:sz w:val="16"/>
          <w:szCs w:val="16"/>
        </w:rPr>
        <w:t xml:space="preserve"> </w:t>
      </w:r>
      <w:r w:rsidR="00853EE8" w:rsidRPr="000E2423">
        <w:rPr>
          <w:rFonts w:cstheme="minorHAnsi"/>
          <w:sz w:val="16"/>
          <w:szCs w:val="16"/>
        </w:rPr>
        <w:t>and</w:t>
      </w:r>
      <w:r w:rsidR="0085792D" w:rsidRPr="000E2423">
        <w:rPr>
          <w:rFonts w:cstheme="minorHAnsi"/>
          <w:sz w:val="16"/>
          <w:szCs w:val="16"/>
        </w:rPr>
        <w:t xml:space="preserve"> Jeannie Fuglesten Biniek, </w:t>
      </w:r>
      <w:r w:rsidR="0085792D" w:rsidRPr="000E2423">
        <w:rPr>
          <w:rFonts w:cstheme="minorHAnsi"/>
          <w:i/>
          <w:sz w:val="16"/>
          <w:szCs w:val="16"/>
        </w:rPr>
        <w:t>et al.</w:t>
      </w:r>
      <w:r w:rsidR="0085792D" w:rsidRPr="000E2423">
        <w:rPr>
          <w:rFonts w:cstheme="minorHAnsi"/>
          <w:sz w:val="16"/>
          <w:szCs w:val="16"/>
        </w:rPr>
        <w:t xml:space="preserve">, “Higher and Faster Growing Spending Per Medicare Advantage Enrollee Adds to Medicare's Solvency and Affordability Challenges” Kaiser Family Foundation (August 17, 2021), </w:t>
      </w:r>
      <w:hyperlink r:id="rId22" w:history="1">
        <w:r w:rsidR="0085792D" w:rsidRPr="000E2423">
          <w:rPr>
            <w:rStyle w:val="Hyperlink"/>
            <w:rFonts w:cstheme="minorHAnsi"/>
            <w:sz w:val="16"/>
            <w:szCs w:val="16"/>
          </w:rPr>
          <w:t>https://www.kff.org/medicare/issue-brief/higher-and-faster-growing-spending-per-medicare-advantage-enrollee-adds-to-medicares-solvency-and-affordability-challenges/</w:t>
        </w:r>
      </w:hyperlink>
      <w:r w:rsidR="0085792D" w:rsidRPr="000E2423">
        <w:rPr>
          <w:rStyle w:val="Hyperlink"/>
          <w:rFonts w:cstheme="minorHAnsi"/>
          <w:color w:val="000000" w:themeColor="text1"/>
          <w:sz w:val="16"/>
          <w:szCs w:val="16"/>
          <w:u w:val="none"/>
        </w:rPr>
        <w:t>.</w:t>
      </w:r>
    </w:p>
  </w:footnote>
  <w:footnote w:id="22">
    <w:p w14:paraId="05338320" w14:textId="47DD2BBA" w:rsidR="00C917F1" w:rsidRPr="000E2423" w:rsidRDefault="00C917F1" w:rsidP="00C917F1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4A1215" w:rsidRPr="000E2423">
        <w:rPr>
          <w:rFonts w:cstheme="minorHAnsi"/>
          <w:sz w:val="16"/>
          <w:szCs w:val="16"/>
        </w:rPr>
        <w:t xml:space="preserve"> </w:t>
      </w:r>
      <w:r w:rsidR="004A1215" w:rsidRPr="000E2423">
        <w:rPr>
          <w:rFonts w:cstheme="minorHAnsi"/>
          <w:i/>
          <w:iCs/>
          <w:sz w:val="16"/>
          <w:szCs w:val="16"/>
        </w:rPr>
        <w:t>Id</w:t>
      </w:r>
      <w:r w:rsidR="0085792D" w:rsidRPr="000E2423">
        <w:rPr>
          <w:rStyle w:val="Hyperlink"/>
          <w:rFonts w:cstheme="minorHAnsi"/>
          <w:i/>
          <w:iCs/>
          <w:color w:val="000000" w:themeColor="text1"/>
          <w:sz w:val="16"/>
          <w:szCs w:val="16"/>
          <w:u w:val="none"/>
        </w:rPr>
        <w:t>.</w:t>
      </w:r>
    </w:p>
  </w:footnote>
  <w:footnote w:id="23">
    <w:p w14:paraId="1A9C2835" w14:textId="43C9FD38" w:rsidR="3FCD7863" w:rsidRPr="000E2423" w:rsidRDefault="3FCD7863">
      <w:pPr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</w:t>
      </w:r>
      <w:r w:rsidR="00E230A5" w:rsidRPr="000E2423">
        <w:rPr>
          <w:rFonts w:cstheme="minorHAnsi"/>
          <w:sz w:val="16"/>
          <w:szCs w:val="16"/>
        </w:rPr>
        <w:t xml:space="preserve">Medicare Payment Advisory Commission, “Medicare Payment Policy: Report to the Congress” (March 2021), </w:t>
      </w:r>
      <w:hyperlink r:id="rId23" w:anchor="page=401" w:history="1">
        <w:r w:rsidR="00E230A5" w:rsidRPr="000E2423">
          <w:rPr>
            <w:rStyle w:val="Hyperlink"/>
            <w:rFonts w:cstheme="minorHAnsi"/>
            <w:sz w:val="16"/>
            <w:szCs w:val="16"/>
          </w:rPr>
          <w:t>https://www.medpac.gov/wp-content/uploads/import_data/scrape_files/docs/default-source/reports/mar21_medpac_report_to_the_congress_sec.pdf#page=401</w:t>
        </w:r>
      </w:hyperlink>
      <w:r w:rsidR="005245FE" w:rsidRPr="000E2423">
        <w:rPr>
          <w:rFonts w:cstheme="minorHAnsi"/>
          <w:sz w:val="16"/>
          <w:szCs w:val="16"/>
        </w:rPr>
        <w:t>.</w:t>
      </w:r>
    </w:p>
  </w:footnote>
  <w:footnote w:id="24">
    <w:p w14:paraId="482CE189" w14:textId="1248D754" w:rsidR="00497785" w:rsidRPr="000E2423" w:rsidRDefault="3FCD7863" w:rsidP="3FCD7863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497785" w:rsidRPr="000E2423">
        <w:rPr>
          <w:rFonts w:cstheme="minorHAnsi"/>
          <w:sz w:val="16"/>
          <w:szCs w:val="16"/>
        </w:rPr>
        <w:t xml:space="preserve"> </w:t>
      </w:r>
      <w:r w:rsidRPr="000E2423">
        <w:rPr>
          <w:rFonts w:cstheme="minorHAnsi"/>
          <w:i/>
          <w:iCs/>
          <w:sz w:val="16"/>
          <w:szCs w:val="16"/>
        </w:rPr>
        <w:t>Id.</w:t>
      </w:r>
    </w:p>
  </w:footnote>
  <w:footnote w:id="25">
    <w:p w14:paraId="41868BC4" w14:textId="15B27E07" w:rsidR="00BD2E4E" w:rsidRPr="000E2423" w:rsidRDefault="00BD2E4E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="004F4EF4" w:rsidRPr="000E2423">
        <w:rPr>
          <w:rFonts w:cstheme="minorHAnsi"/>
          <w:sz w:val="16"/>
          <w:szCs w:val="16"/>
        </w:rPr>
        <w:t xml:space="preserve"> U.S. Department of Health and Human Services, “</w:t>
      </w:r>
      <w:r w:rsidR="001C33F3" w:rsidRPr="000E2423">
        <w:rPr>
          <w:rFonts w:cstheme="minorHAnsi"/>
          <w:sz w:val="16"/>
          <w:szCs w:val="16"/>
        </w:rPr>
        <w:t>Fact v. Fiction: Biden-Harris Administration is Strengthening Medicare; Private Industry Must Share Obligation to Deliver Quality Health Care for America’s Seniors” (February 17, 2023),</w:t>
      </w:r>
      <w:r w:rsidRPr="000E2423">
        <w:rPr>
          <w:rFonts w:cstheme="minorHAnsi"/>
          <w:sz w:val="16"/>
          <w:szCs w:val="16"/>
        </w:rPr>
        <w:t xml:space="preserve"> </w:t>
      </w:r>
      <w:hyperlink r:id="rId24" w:history="1">
        <w:r w:rsidRPr="000E2423">
          <w:rPr>
            <w:rStyle w:val="Hyperlink"/>
            <w:rFonts w:cstheme="minorHAnsi"/>
            <w:sz w:val="16"/>
            <w:szCs w:val="16"/>
          </w:rPr>
          <w:t>https://www.hhs.gov/about/news/2023/02/17/fact-v-fiction-biden-harris-administration-strengthening-medicare-private-industry-must-share-obligation-deliver-quality-health-care-for-americas-seniors.html</w:t>
        </w:r>
      </w:hyperlink>
      <w:r w:rsidR="001C33F3" w:rsidRPr="000E2423">
        <w:rPr>
          <w:rStyle w:val="Hyperlink"/>
          <w:rFonts w:cstheme="minorHAnsi"/>
          <w:sz w:val="16"/>
          <w:szCs w:val="16"/>
        </w:rPr>
        <w:t>.</w:t>
      </w:r>
    </w:p>
  </w:footnote>
  <w:footnote w:id="26">
    <w:p w14:paraId="26CCB07D" w14:textId="0E59606B" w:rsidR="003A2617" w:rsidRPr="000E2423" w:rsidRDefault="003A2617" w:rsidP="003A2617">
      <w:pPr>
        <w:pStyle w:val="FootnoteText"/>
        <w:rPr>
          <w:rFonts w:cstheme="minorHAnsi"/>
          <w:sz w:val="16"/>
          <w:szCs w:val="16"/>
        </w:rPr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Medicare Payment Advisory Commission, “January 2022 MedPAC Meeting Transcript”</w:t>
      </w:r>
      <w:r w:rsidR="000E2423" w:rsidRPr="000E2423">
        <w:rPr>
          <w:rFonts w:cstheme="minorHAnsi"/>
          <w:sz w:val="16"/>
          <w:szCs w:val="16"/>
        </w:rPr>
        <w:t xml:space="preserve"> </w:t>
      </w:r>
      <w:r w:rsidRPr="000E2423">
        <w:rPr>
          <w:rFonts w:cstheme="minorHAnsi"/>
          <w:sz w:val="16"/>
          <w:szCs w:val="16"/>
        </w:rPr>
        <w:t>(January 13</w:t>
      </w:r>
      <w:r w:rsidR="00DB2527" w:rsidRPr="000E2423">
        <w:rPr>
          <w:rFonts w:cstheme="minorHAnsi"/>
          <w:sz w:val="16"/>
          <w:szCs w:val="16"/>
        </w:rPr>
        <w:t>,</w:t>
      </w:r>
      <w:r w:rsidRPr="000E2423">
        <w:rPr>
          <w:rFonts w:cstheme="minorHAnsi"/>
          <w:sz w:val="16"/>
          <w:szCs w:val="16"/>
        </w:rPr>
        <w:t xml:space="preserve"> 2022)</w:t>
      </w:r>
      <w:r w:rsidR="009009AA" w:rsidRPr="000E2423">
        <w:rPr>
          <w:rFonts w:cstheme="minorHAnsi"/>
          <w:sz w:val="16"/>
          <w:szCs w:val="16"/>
        </w:rPr>
        <w:t>,</w:t>
      </w:r>
      <w:r w:rsidRPr="000E2423">
        <w:rPr>
          <w:rFonts w:cstheme="minorHAnsi"/>
          <w:sz w:val="16"/>
          <w:szCs w:val="16"/>
        </w:rPr>
        <w:t xml:space="preserve"> </w:t>
      </w:r>
      <w:hyperlink r:id="rId25" w:history="1">
        <w:r w:rsidRPr="000E2423">
          <w:rPr>
            <w:rStyle w:val="Hyperlink"/>
            <w:rFonts w:cstheme="minorHAnsi"/>
            <w:sz w:val="16"/>
            <w:szCs w:val="16"/>
          </w:rPr>
          <w:t>https://www.medpac.gov/wp-content/uploads/2021/10/Jan22_MedPAC_Meeting_Transcript_SEC.pdf</w:t>
        </w:r>
      </w:hyperlink>
      <w:r w:rsidRPr="000E2423">
        <w:rPr>
          <w:rFonts w:cstheme="minorHAnsi"/>
          <w:sz w:val="16"/>
          <w:szCs w:val="16"/>
        </w:rPr>
        <w:t>.</w:t>
      </w:r>
    </w:p>
  </w:footnote>
  <w:footnote w:id="27">
    <w:p w14:paraId="4BF060C1" w14:textId="77777777" w:rsidR="00724323" w:rsidRDefault="00724323" w:rsidP="00724323">
      <w:pPr>
        <w:pStyle w:val="FootnoteText"/>
      </w:pPr>
      <w:r w:rsidRPr="000E2423">
        <w:rPr>
          <w:rStyle w:val="FootnoteReference"/>
          <w:rFonts w:cstheme="minorHAnsi"/>
          <w:sz w:val="16"/>
          <w:szCs w:val="16"/>
        </w:rPr>
        <w:footnoteRef/>
      </w:r>
      <w:r w:rsidRPr="000E2423">
        <w:rPr>
          <w:rFonts w:cstheme="minorHAnsi"/>
          <w:sz w:val="16"/>
          <w:szCs w:val="16"/>
        </w:rPr>
        <w:t xml:space="preserve"> Martha Hostetter and Sarah Klein, “Taking Stock of Medicare Advantage: Risk Adjustment” The Commonwealth Fund (February 17, 2022), </w:t>
      </w:r>
      <w:hyperlink r:id="rId26" w:history="1">
        <w:r w:rsidRPr="000E2423">
          <w:rPr>
            <w:rStyle w:val="Hyperlink"/>
            <w:rFonts w:cstheme="minorHAnsi"/>
            <w:sz w:val="16"/>
            <w:szCs w:val="16"/>
          </w:rPr>
          <w:t>https://www.commonwealthfund.org/blog/2022/taking-stock-medicare-advantage-risk-adjustment</w:t>
        </w:r>
      </w:hyperlink>
      <w:r w:rsidRPr="000E2423">
        <w:rPr>
          <w:rStyle w:val="Hyperlink"/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F392077" w14:paraId="2658DD92" w14:textId="77777777" w:rsidTr="002B71C4">
      <w:trPr>
        <w:trHeight w:val="300"/>
      </w:trPr>
      <w:tc>
        <w:tcPr>
          <w:tcW w:w="3120" w:type="dxa"/>
        </w:tcPr>
        <w:p w14:paraId="5BB8187B" w14:textId="0DC42BE1" w:rsidR="2F392077" w:rsidRDefault="2F392077" w:rsidP="002B71C4">
          <w:pPr>
            <w:pStyle w:val="Header"/>
            <w:ind w:left="-115"/>
          </w:pPr>
        </w:p>
      </w:tc>
      <w:tc>
        <w:tcPr>
          <w:tcW w:w="3120" w:type="dxa"/>
        </w:tcPr>
        <w:p w14:paraId="52017B7B" w14:textId="6F3D8BBF" w:rsidR="2F392077" w:rsidRDefault="2F392077" w:rsidP="002B71C4">
          <w:pPr>
            <w:pStyle w:val="Header"/>
            <w:jc w:val="center"/>
          </w:pPr>
        </w:p>
      </w:tc>
      <w:tc>
        <w:tcPr>
          <w:tcW w:w="3120" w:type="dxa"/>
        </w:tcPr>
        <w:p w14:paraId="5B6F7C86" w14:textId="7CDF94A1" w:rsidR="2F392077" w:rsidRDefault="2F392077" w:rsidP="002B71C4">
          <w:pPr>
            <w:pStyle w:val="Header"/>
            <w:ind w:right="-115"/>
            <w:jc w:val="right"/>
          </w:pPr>
        </w:p>
      </w:tc>
    </w:tr>
  </w:tbl>
  <w:p w14:paraId="7D3C8527" w14:textId="4A1D514B" w:rsidR="00C86D46" w:rsidRDefault="00C86D4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wX6JmsaZlxjR" int2:id="4x70vyTK">
      <int2:state int2:value="Rejected" int2:type="LegacyProofing"/>
    </int2:textHash>
    <int2:textHash int2:hashCode="yBrp3QqzhsKhYG" int2:id="6Q5CH1yv">
      <int2:state int2:value="Rejected" int2:type="LegacyProofing"/>
    </int2:textHash>
    <int2:textHash int2:hashCode="aztkBrNYVn+mWl" int2:id="z4fP1bih">
      <int2:state int2:value="Rejected" int2:type="LegacyProofing"/>
    </int2:textHash>
    <int2:textHash int2:hashCode="VlmVsjr0ARu3CS" int2:id="FotqGM4h">
      <int2:state int2:value="Rejected" int2:type="LegacyProofing"/>
    </int2:textHash>
    <int2:textHash int2:hashCode="AjFNJhKdYWXQNG" int2:id="X05c3pPR">
      <int2:state int2:value="Rejected" int2:type="LegacyProofing"/>
    </int2:textHash>
    <int2:bookmark int2:bookmarkName="_Int_IwZtYxEf" int2:invalidationBookmarkName="" int2:hashCode="6ZGCtTQ9Tz0vTK" int2:id="21rDMsfr">
      <int2:state int2:value="Rejected" int2:type="AugLoop_Text_Critique"/>
    </int2:bookmark>
    <int2:bookmark int2:bookmarkName="_Int_5g86tKx3" int2:invalidationBookmarkName="" int2:hashCode="14KkhgKynVM1Bo" int2:id="zbCRuQa3">
      <int2:state int2:value="Rejected" int2:type="AugLoop_Text_Critique"/>
    </int2:bookmark>
    <int2:bookmark int2:bookmarkName="_Int_ePs4KmjZ" int2:invalidationBookmarkName="" int2:hashCode="l/AfG6nhMLo/XM" int2:id="8b4nUwWh">
      <int2:state int2:value="Rejected" int2:type="AugLoop_Text_Critique"/>
    </int2:bookmark>
    <int2:bookmark int2:bookmarkName="_Int_X4TxAYeI" int2:invalidationBookmarkName="" int2:hashCode="jeYPqcbJ0YDERo" int2:id="BU4IlD1R">
      <int2:state int2:value="Rejected" int2:type="AugLoop_Text_Critique"/>
    </int2:bookmark>
    <int2:bookmark int2:bookmarkName="_Int_mWCseRK6" int2:invalidationBookmarkName="" int2:hashCode="rb52YH1TQegw4o" int2:id="CvlrN7g2">
      <int2:state int2:value="Rejected" int2:type="LegacyProofing"/>
    </int2:bookmark>
    <int2:bookmark int2:bookmarkName="_Int_rv6bV2Mo" int2:invalidationBookmarkName="" int2:hashCode="sgVoDLyxDdirly" int2:id="RR7YzfIi">
      <int2:state int2:value="Rejected" int2:type="LegacyProofing"/>
    </int2:bookmark>
    <int2:bookmark int2:bookmarkName="_Int_2XfZl0AA" int2:invalidationBookmarkName="" int2:hashCode="07828A4ACp5quf" int2:id="XbezGAAB">
      <int2:state int2:value="Rejected" int2:type="AugLoop_Text_Critique"/>
    </int2:bookmark>
    <int2:bookmark int2:bookmarkName="_Int_vKfwqHMi" int2:invalidationBookmarkName="" int2:hashCode="Q0idl9CQuB3Llm" int2:id="Z1vPz1Eq">
      <int2:state int2:value="Rejected" int2:type="AugLoop_Text_Critique"/>
    </int2:bookmark>
    <int2:bookmark int2:bookmarkName="_Int_Kxvvn53Q" int2:invalidationBookmarkName="" int2:hashCode="11IRYwEHuWMHnT" int2:id="hE7leE6I">
      <int2:state int2:value="Rejected" int2:type="AugLoop_Text_Critique"/>
    </int2:bookmark>
    <int2:bookmark int2:bookmarkName="_Int_kJw4rgUt" int2:invalidationBookmarkName="" int2:hashCode="5SgJ/d8dSGpHDn" int2:id="oxPMXOQj">
      <int2:state int2:value="Rejected" int2:type="AugLoop_Text_Critique"/>
    </int2:bookmark>
    <int2:bookmark int2:bookmarkName="_Int_cQ8wsoBb" int2:invalidationBookmarkName="" int2:hashCode="l1vDVHmveMmkBu" int2:id="uF1kdntL">
      <int2:state int2:value="Rejected" int2:type="AugLoop_Text_Critique"/>
    </int2:bookmark>
    <int2:bookmark int2:bookmarkName="_Int_og7Z74Nz" int2:invalidationBookmarkName="" int2:hashCode="rL2xulVGz+eAF+" int2:id="vONz4lC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64DB"/>
    <w:multiLevelType w:val="multilevel"/>
    <w:tmpl w:val="C440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874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3F"/>
    <w:rsid w:val="0000284D"/>
    <w:rsid w:val="00007309"/>
    <w:rsid w:val="0001767F"/>
    <w:rsid w:val="0002521D"/>
    <w:rsid w:val="00025AC5"/>
    <w:rsid w:val="000264C3"/>
    <w:rsid w:val="00032932"/>
    <w:rsid w:val="00033E56"/>
    <w:rsid w:val="00035D3C"/>
    <w:rsid w:val="00036DDF"/>
    <w:rsid w:val="0004537A"/>
    <w:rsid w:val="00051AEB"/>
    <w:rsid w:val="00053215"/>
    <w:rsid w:val="000719B1"/>
    <w:rsid w:val="000807A9"/>
    <w:rsid w:val="000817DC"/>
    <w:rsid w:val="000817F3"/>
    <w:rsid w:val="00085DDD"/>
    <w:rsid w:val="00085DFC"/>
    <w:rsid w:val="0008642B"/>
    <w:rsid w:val="00096F1E"/>
    <w:rsid w:val="000A76DA"/>
    <w:rsid w:val="000B222A"/>
    <w:rsid w:val="000B29A2"/>
    <w:rsid w:val="000B41F5"/>
    <w:rsid w:val="000C3443"/>
    <w:rsid w:val="000C4E52"/>
    <w:rsid w:val="000C78D0"/>
    <w:rsid w:val="000E0FF9"/>
    <w:rsid w:val="000E1B53"/>
    <w:rsid w:val="000E2423"/>
    <w:rsid w:val="000E4A6A"/>
    <w:rsid w:val="000E4DE7"/>
    <w:rsid w:val="000E5140"/>
    <w:rsid w:val="000F3235"/>
    <w:rsid w:val="000F3C1F"/>
    <w:rsid w:val="000F731E"/>
    <w:rsid w:val="00100363"/>
    <w:rsid w:val="001016FB"/>
    <w:rsid w:val="0010345B"/>
    <w:rsid w:val="00106CB5"/>
    <w:rsid w:val="00107884"/>
    <w:rsid w:val="00107B13"/>
    <w:rsid w:val="00111568"/>
    <w:rsid w:val="00114F46"/>
    <w:rsid w:val="0013091C"/>
    <w:rsid w:val="00133F14"/>
    <w:rsid w:val="00134363"/>
    <w:rsid w:val="00135751"/>
    <w:rsid w:val="00142404"/>
    <w:rsid w:val="00142D96"/>
    <w:rsid w:val="00143966"/>
    <w:rsid w:val="00145598"/>
    <w:rsid w:val="0015208F"/>
    <w:rsid w:val="0016222C"/>
    <w:rsid w:val="00166675"/>
    <w:rsid w:val="00166CD4"/>
    <w:rsid w:val="00170DB2"/>
    <w:rsid w:val="00173FE3"/>
    <w:rsid w:val="001754EA"/>
    <w:rsid w:val="00176C18"/>
    <w:rsid w:val="001834BD"/>
    <w:rsid w:val="00185B4F"/>
    <w:rsid w:val="00186C7A"/>
    <w:rsid w:val="0019368A"/>
    <w:rsid w:val="0019693A"/>
    <w:rsid w:val="00197CE8"/>
    <w:rsid w:val="001A0C93"/>
    <w:rsid w:val="001A0D44"/>
    <w:rsid w:val="001A3186"/>
    <w:rsid w:val="001A4E52"/>
    <w:rsid w:val="001A74D6"/>
    <w:rsid w:val="001B0844"/>
    <w:rsid w:val="001B30C0"/>
    <w:rsid w:val="001B676B"/>
    <w:rsid w:val="001C1EA2"/>
    <w:rsid w:val="001C33BC"/>
    <w:rsid w:val="001C33F3"/>
    <w:rsid w:val="001C3686"/>
    <w:rsid w:val="001C45D4"/>
    <w:rsid w:val="001C54C7"/>
    <w:rsid w:val="001C6788"/>
    <w:rsid w:val="001C77F9"/>
    <w:rsid w:val="001D30BC"/>
    <w:rsid w:val="001E5C87"/>
    <w:rsid w:val="001E790D"/>
    <w:rsid w:val="001F0DCC"/>
    <w:rsid w:val="001F36A4"/>
    <w:rsid w:val="001F5B05"/>
    <w:rsid w:val="0020251E"/>
    <w:rsid w:val="002073DE"/>
    <w:rsid w:val="00222DDD"/>
    <w:rsid w:val="00224409"/>
    <w:rsid w:val="00224BAB"/>
    <w:rsid w:val="00225E9F"/>
    <w:rsid w:val="00226C5C"/>
    <w:rsid w:val="00227013"/>
    <w:rsid w:val="00240CD9"/>
    <w:rsid w:val="00245902"/>
    <w:rsid w:val="0024693F"/>
    <w:rsid w:val="00247CF6"/>
    <w:rsid w:val="00250546"/>
    <w:rsid w:val="00256079"/>
    <w:rsid w:val="00257800"/>
    <w:rsid w:val="00265CC6"/>
    <w:rsid w:val="00270EA3"/>
    <w:rsid w:val="0028418D"/>
    <w:rsid w:val="00285B17"/>
    <w:rsid w:val="002879FD"/>
    <w:rsid w:val="00295562"/>
    <w:rsid w:val="002963B2"/>
    <w:rsid w:val="002A422C"/>
    <w:rsid w:val="002A6459"/>
    <w:rsid w:val="002A7867"/>
    <w:rsid w:val="002B221C"/>
    <w:rsid w:val="002B47B1"/>
    <w:rsid w:val="002B71C4"/>
    <w:rsid w:val="002B7DCF"/>
    <w:rsid w:val="002C45C7"/>
    <w:rsid w:val="002D1BFE"/>
    <w:rsid w:val="002D3383"/>
    <w:rsid w:val="002E48C8"/>
    <w:rsid w:val="002E65F3"/>
    <w:rsid w:val="002F0C9C"/>
    <w:rsid w:val="002F17BE"/>
    <w:rsid w:val="002F1C28"/>
    <w:rsid w:val="002F2626"/>
    <w:rsid w:val="00306C7F"/>
    <w:rsid w:val="00314713"/>
    <w:rsid w:val="0031497C"/>
    <w:rsid w:val="003172A4"/>
    <w:rsid w:val="00322192"/>
    <w:rsid w:val="003243DE"/>
    <w:rsid w:val="00326163"/>
    <w:rsid w:val="0033223B"/>
    <w:rsid w:val="00333983"/>
    <w:rsid w:val="00334A4C"/>
    <w:rsid w:val="00341A25"/>
    <w:rsid w:val="003478BA"/>
    <w:rsid w:val="00350422"/>
    <w:rsid w:val="0035591A"/>
    <w:rsid w:val="00356B5E"/>
    <w:rsid w:val="00356EC5"/>
    <w:rsid w:val="00360DA9"/>
    <w:rsid w:val="00361C46"/>
    <w:rsid w:val="003633A4"/>
    <w:rsid w:val="00366F97"/>
    <w:rsid w:val="00367ED5"/>
    <w:rsid w:val="00370C9D"/>
    <w:rsid w:val="003737D1"/>
    <w:rsid w:val="003745D7"/>
    <w:rsid w:val="00374A21"/>
    <w:rsid w:val="0037707D"/>
    <w:rsid w:val="00377F5A"/>
    <w:rsid w:val="00380E85"/>
    <w:rsid w:val="003811BF"/>
    <w:rsid w:val="003814EB"/>
    <w:rsid w:val="0038182C"/>
    <w:rsid w:val="003826F8"/>
    <w:rsid w:val="00383827"/>
    <w:rsid w:val="00390F9C"/>
    <w:rsid w:val="0039494A"/>
    <w:rsid w:val="00396B0E"/>
    <w:rsid w:val="003A2617"/>
    <w:rsid w:val="003B563B"/>
    <w:rsid w:val="003B5A06"/>
    <w:rsid w:val="003C39E5"/>
    <w:rsid w:val="003C5A32"/>
    <w:rsid w:val="003C7DBA"/>
    <w:rsid w:val="003D64A9"/>
    <w:rsid w:val="003D66D7"/>
    <w:rsid w:val="003E1A42"/>
    <w:rsid w:val="003E2447"/>
    <w:rsid w:val="003E3BBF"/>
    <w:rsid w:val="003E4BC1"/>
    <w:rsid w:val="003E58BD"/>
    <w:rsid w:val="003E75EA"/>
    <w:rsid w:val="003F3C08"/>
    <w:rsid w:val="003F4BFF"/>
    <w:rsid w:val="003F66EA"/>
    <w:rsid w:val="003F700B"/>
    <w:rsid w:val="003F75C5"/>
    <w:rsid w:val="004075AB"/>
    <w:rsid w:val="00411D4B"/>
    <w:rsid w:val="0041340E"/>
    <w:rsid w:val="00413D1B"/>
    <w:rsid w:val="00415CC2"/>
    <w:rsid w:val="004246A2"/>
    <w:rsid w:val="00424C77"/>
    <w:rsid w:val="00431FC4"/>
    <w:rsid w:val="004422BD"/>
    <w:rsid w:val="00445236"/>
    <w:rsid w:val="00447357"/>
    <w:rsid w:val="00450860"/>
    <w:rsid w:val="00450D81"/>
    <w:rsid w:val="00452E1F"/>
    <w:rsid w:val="00452EA3"/>
    <w:rsid w:val="00455065"/>
    <w:rsid w:val="004559EC"/>
    <w:rsid w:val="00457850"/>
    <w:rsid w:val="0046580D"/>
    <w:rsid w:val="004733AE"/>
    <w:rsid w:val="0047371B"/>
    <w:rsid w:val="00484056"/>
    <w:rsid w:val="00486ACB"/>
    <w:rsid w:val="004874D1"/>
    <w:rsid w:val="0049193A"/>
    <w:rsid w:val="00491AD2"/>
    <w:rsid w:val="00492FAC"/>
    <w:rsid w:val="00497785"/>
    <w:rsid w:val="004A1215"/>
    <w:rsid w:val="004A4A80"/>
    <w:rsid w:val="004A6BAD"/>
    <w:rsid w:val="004B0F56"/>
    <w:rsid w:val="004B1D41"/>
    <w:rsid w:val="004B23FF"/>
    <w:rsid w:val="004C2EE0"/>
    <w:rsid w:val="004C30B1"/>
    <w:rsid w:val="004C3F39"/>
    <w:rsid w:val="004C4D2E"/>
    <w:rsid w:val="004C6DAE"/>
    <w:rsid w:val="004C75D1"/>
    <w:rsid w:val="004D2F80"/>
    <w:rsid w:val="004D333B"/>
    <w:rsid w:val="004D4A2E"/>
    <w:rsid w:val="004E06B2"/>
    <w:rsid w:val="004E4B98"/>
    <w:rsid w:val="004F0976"/>
    <w:rsid w:val="004F4EF4"/>
    <w:rsid w:val="00501461"/>
    <w:rsid w:val="00506522"/>
    <w:rsid w:val="00511C6D"/>
    <w:rsid w:val="005162DD"/>
    <w:rsid w:val="00523188"/>
    <w:rsid w:val="00523583"/>
    <w:rsid w:val="005243BB"/>
    <w:rsid w:val="005245FE"/>
    <w:rsid w:val="0052484F"/>
    <w:rsid w:val="005261E6"/>
    <w:rsid w:val="005262BB"/>
    <w:rsid w:val="00526313"/>
    <w:rsid w:val="00532889"/>
    <w:rsid w:val="0054007F"/>
    <w:rsid w:val="00540096"/>
    <w:rsid w:val="00545CAA"/>
    <w:rsid w:val="005478A3"/>
    <w:rsid w:val="00547EAB"/>
    <w:rsid w:val="00552617"/>
    <w:rsid w:val="00552747"/>
    <w:rsid w:val="005577C8"/>
    <w:rsid w:val="00557F84"/>
    <w:rsid w:val="00573435"/>
    <w:rsid w:val="00574E4B"/>
    <w:rsid w:val="00575B7E"/>
    <w:rsid w:val="00582122"/>
    <w:rsid w:val="005A4DB6"/>
    <w:rsid w:val="005B353F"/>
    <w:rsid w:val="005B529B"/>
    <w:rsid w:val="005C2987"/>
    <w:rsid w:val="005C718B"/>
    <w:rsid w:val="005D04EB"/>
    <w:rsid w:val="005D20B0"/>
    <w:rsid w:val="005D2E62"/>
    <w:rsid w:val="005D323F"/>
    <w:rsid w:val="005D5658"/>
    <w:rsid w:val="005D61F3"/>
    <w:rsid w:val="005E3C5B"/>
    <w:rsid w:val="005E60B7"/>
    <w:rsid w:val="005E6B45"/>
    <w:rsid w:val="005F48F0"/>
    <w:rsid w:val="005F7867"/>
    <w:rsid w:val="00603ECD"/>
    <w:rsid w:val="00605A0B"/>
    <w:rsid w:val="00607811"/>
    <w:rsid w:val="00616316"/>
    <w:rsid w:val="006228E9"/>
    <w:rsid w:val="00623669"/>
    <w:rsid w:val="006331C0"/>
    <w:rsid w:val="0063343D"/>
    <w:rsid w:val="00641443"/>
    <w:rsid w:val="00645284"/>
    <w:rsid w:val="00645F46"/>
    <w:rsid w:val="00650FA9"/>
    <w:rsid w:val="006512D9"/>
    <w:rsid w:val="00653F28"/>
    <w:rsid w:val="00656CBE"/>
    <w:rsid w:val="00661327"/>
    <w:rsid w:val="00663F46"/>
    <w:rsid w:val="00664E36"/>
    <w:rsid w:val="006670A4"/>
    <w:rsid w:val="0066748D"/>
    <w:rsid w:val="00675296"/>
    <w:rsid w:val="00677B4F"/>
    <w:rsid w:val="0068298F"/>
    <w:rsid w:val="006871B7"/>
    <w:rsid w:val="00695A97"/>
    <w:rsid w:val="006967B1"/>
    <w:rsid w:val="006A3353"/>
    <w:rsid w:val="006B2D44"/>
    <w:rsid w:val="006B30B2"/>
    <w:rsid w:val="006B3C55"/>
    <w:rsid w:val="006B4E52"/>
    <w:rsid w:val="006B7A04"/>
    <w:rsid w:val="006C4BA0"/>
    <w:rsid w:val="006D2036"/>
    <w:rsid w:val="006D4ACF"/>
    <w:rsid w:val="006E1B58"/>
    <w:rsid w:val="006E375A"/>
    <w:rsid w:val="00701D1E"/>
    <w:rsid w:val="007035A0"/>
    <w:rsid w:val="007039D6"/>
    <w:rsid w:val="00706C83"/>
    <w:rsid w:val="00707ECC"/>
    <w:rsid w:val="00711842"/>
    <w:rsid w:val="00713A22"/>
    <w:rsid w:val="00714B36"/>
    <w:rsid w:val="007231FD"/>
    <w:rsid w:val="00724323"/>
    <w:rsid w:val="0072726B"/>
    <w:rsid w:val="00730072"/>
    <w:rsid w:val="007330F4"/>
    <w:rsid w:val="00733124"/>
    <w:rsid w:val="007347B8"/>
    <w:rsid w:val="007355FE"/>
    <w:rsid w:val="00744CB7"/>
    <w:rsid w:val="00751900"/>
    <w:rsid w:val="007520AE"/>
    <w:rsid w:val="00756102"/>
    <w:rsid w:val="00757B48"/>
    <w:rsid w:val="007624FA"/>
    <w:rsid w:val="00764978"/>
    <w:rsid w:val="00765B05"/>
    <w:rsid w:val="00766FA4"/>
    <w:rsid w:val="00767EE5"/>
    <w:rsid w:val="007715FF"/>
    <w:rsid w:val="00772560"/>
    <w:rsid w:val="00773325"/>
    <w:rsid w:val="0077476A"/>
    <w:rsid w:val="00780912"/>
    <w:rsid w:val="00781ECA"/>
    <w:rsid w:val="007A1B99"/>
    <w:rsid w:val="007A5D90"/>
    <w:rsid w:val="007B05D4"/>
    <w:rsid w:val="007B21FB"/>
    <w:rsid w:val="007B6ECB"/>
    <w:rsid w:val="007C1BDB"/>
    <w:rsid w:val="007C24D1"/>
    <w:rsid w:val="007C4A0E"/>
    <w:rsid w:val="007C6585"/>
    <w:rsid w:val="007D39DB"/>
    <w:rsid w:val="007D4864"/>
    <w:rsid w:val="007D61E2"/>
    <w:rsid w:val="007E208B"/>
    <w:rsid w:val="007E26F5"/>
    <w:rsid w:val="007E6631"/>
    <w:rsid w:val="007E6BE9"/>
    <w:rsid w:val="007F3B6F"/>
    <w:rsid w:val="007F5575"/>
    <w:rsid w:val="007F79A6"/>
    <w:rsid w:val="00800501"/>
    <w:rsid w:val="00804A90"/>
    <w:rsid w:val="00805495"/>
    <w:rsid w:val="008125E7"/>
    <w:rsid w:val="00816671"/>
    <w:rsid w:val="00817F13"/>
    <w:rsid w:val="00820852"/>
    <w:rsid w:val="00822CEC"/>
    <w:rsid w:val="008249D4"/>
    <w:rsid w:val="008317D3"/>
    <w:rsid w:val="008413E9"/>
    <w:rsid w:val="00850418"/>
    <w:rsid w:val="00853EE8"/>
    <w:rsid w:val="00855273"/>
    <w:rsid w:val="0085792D"/>
    <w:rsid w:val="00857EDC"/>
    <w:rsid w:val="00862C7D"/>
    <w:rsid w:val="008707CD"/>
    <w:rsid w:val="008724CA"/>
    <w:rsid w:val="00873737"/>
    <w:rsid w:val="00880299"/>
    <w:rsid w:val="00882EB8"/>
    <w:rsid w:val="00884277"/>
    <w:rsid w:val="00884AD7"/>
    <w:rsid w:val="008864FE"/>
    <w:rsid w:val="0088728E"/>
    <w:rsid w:val="00891EC2"/>
    <w:rsid w:val="008959D3"/>
    <w:rsid w:val="008A0C05"/>
    <w:rsid w:val="008A1856"/>
    <w:rsid w:val="008A6E5E"/>
    <w:rsid w:val="008B5D01"/>
    <w:rsid w:val="008B62DA"/>
    <w:rsid w:val="008C129F"/>
    <w:rsid w:val="008C18D9"/>
    <w:rsid w:val="008C3747"/>
    <w:rsid w:val="008D35F8"/>
    <w:rsid w:val="008D4E9C"/>
    <w:rsid w:val="008E063A"/>
    <w:rsid w:val="008E4895"/>
    <w:rsid w:val="008E5F3E"/>
    <w:rsid w:val="009009AA"/>
    <w:rsid w:val="00902164"/>
    <w:rsid w:val="00904451"/>
    <w:rsid w:val="00904C5E"/>
    <w:rsid w:val="00914D79"/>
    <w:rsid w:val="00916CB7"/>
    <w:rsid w:val="00921289"/>
    <w:rsid w:val="00930E69"/>
    <w:rsid w:val="00931285"/>
    <w:rsid w:val="0093454B"/>
    <w:rsid w:val="00942ABA"/>
    <w:rsid w:val="00945296"/>
    <w:rsid w:val="009605D1"/>
    <w:rsid w:val="00961156"/>
    <w:rsid w:val="00970B53"/>
    <w:rsid w:val="00974498"/>
    <w:rsid w:val="0098372B"/>
    <w:rsid w:val="00992AC1"/>
    <w:rsid w:val="00996D41"/>
    <w:rsid w:val="009A13EA"/>
    <w:rsid w:val="009A4A40"/>
    <w:rsid w:val="009B3DD7"/>
    <w:rsid w:val="009B5BA6"/>
    <w:rsid w:val="009B5F3A"/>
    <w:rsid w:val="009B6149"/>
    <w:rsid w:val="009C6556"/>
    <w:rsid w:val="009D10F2"/>
    <w:rsid w:val="009D1970"/>
    <w:rsid w:val="009D7BDC"/>
    <w:rsid w:val="009E291A"/>
    <w:rsid w:val="009E522D"/>
    <w:rsid w:val="009E74A9"/>
    <w:rsid w:val="009F27D7"/>
    <w:rsid w:val="00A01F96"/>
    <w:rsid w:val="00A02864"/>
    <w:rsid w:val="00A06CFB"/>
    <w:rsid w:val="00A106DF"/>
    <w:rsid w:val="00A143A6"/>
    <w:rsid w:val="00A15A93"/>
    <w:rsid w:val="00A15DB6"/>
    <w:rsid w:val="00A22BE6"/>
    <w:rsid w:val="00A24374"/>
    <w:rsid w:val="00A27128"/>
    <w:rsid w:val="00A402A0"/>
    <w:rsid w:val="00A41EE3"/>
    <w:rsid w:val="00A42876"/>
    <w:rsid w:val="00A439B8"/>
    <w:rsid w:val="00A518E0"/>
    <w:rsid w:val="00A51E2F"/>
    <w:rsid w:val="00A52485"/>
    <w:rsid w:val="00A529CA"/>
    <w:rsid w:val="00A53E89"/>
    <w:rsid w:val="00A5514D"/>
    <w:rsid w:val="00A55397"/>
    <w:rsid w:val="00A620B5"/>
    <w:rsid w:val="00A70582"/>
    <w:rsid w:val="00A706B3"/>
    <w:rsid w:val="00A775B2"/>
    <w:rsid w:val="00A81000"/>
    <w:rsid w:val="00A84B6E"/>
    <w:rsid w:val="00A901F1"/>
    <w:rsid w:val="00A9299E"/>
    <w:rsid w:val="00A943FC"/>
    <w:rsid w:val="00A97346"/>
    <w:rsid w:val="00A97972"/>
    <w:rsid w:val="00AA35E7"/>
    <w:rsid w:val="00AA38B1"/>
    <w:rsid w:val="00AA4349"/>
    <w:rsid w:val="00AA6D48"/>
    <w:rsid w:val="00AB315A"/>
    <w:rsid w:val="00AB436A"/>
    <w:rsid w:val="00AB4D26"/>
    <w:rsid w:val="00AD1CDC"/>
    <w:rsid w:val="00AD220E"/>
    <w:rsid w:val="00AD3C38"/>
    <w:rsid w:val="00AD4AA3"/>
    <w:rsid w:val="00AD5121"/>
    <w:rsid w:val="00AD785C"/>
    <w:rsid w:val="00AE0B21"/>
    <w:rsid w:val="00AE281D"/>
    <w:rsid w:val="00AF0E6E"/>
    <w:rsid w:val="00B01288"/>
    <w:rsid w:val="00B0176B"/>
    <w:rsid w:val="00B056D1"/>
    <w:rsid w:val="00B14E23"/>
    <w:rsid w:val="00B2322D"/>
    <w:rsid w:val="00B24308"/>
    <w:rsid w:val="00B251A3"/>
    <w:rsid w:val="00B25B34"/>
    <w:rsid w:val="00B372D9"/>
    <w:rsid w:val="00B372EB"/>
    <w:rsid w:val="00B406DF"/>
    <w:rsid w:val="00B4302A"/>
    <w:rsid w:val="00B474D0"/>
    <w:rsid w:val="00B54C6C"/>
    <w:rsid w:val="00B55740"/>
    <w:rsid w:val="00B557D8"/>
    <w:rsid w:val="00B60F14"/>
    <w:rsid w:val="00B6334B"/>
    <w:rsid w:val="00B7100F"/>
    <w:rsid w:val="00B7220A"/>
    <w:rsid w:val="00B72A06"/>
    <w:rsid w:val="00B76AD7"/>
    <w:rsid w:val="00B7705D"/>
    <w:rsid w:val="00B909C5"/>
    <w:rsid w:val="00B91AC6"/>
    <w:rsid w:val="00B954FB"/>
    <w:rsid w:val="00B979D3"/>
    <w:rsid w:val="00BA0B71"/>
    <w:rsid w:val="00BA2B88"/>
    <w:rsid w:val="00BA2C57"/>
    <w:rsid w:val="00BA2E8A"/>
    <w:rsid w:val="00BA43AF"/>
    <w:rsid w:val="00BA5288"/>
    <w:rsid w:val="00BA570C"/>
    <w:rsid w:val="00BC07C2"/>
    <w:rsid w:val="00BC1512"/>
    <w:rsid w:val="00BC1729"/>
    <w:rsid w:val="00BC2E98"/>
    <w:rsid w:val="00BC3637"/>
    <w:rsid w:val="00BC4073"/>
    <w:rsid w:val="00BC5014"/>
    <w:rsid w:val="00BC7173"/>
    <w:rsid w:val="00BD2E4E"/>
    <w:rsid w:val="00BE3178"/>
    <w:rsid w:val="00BF10C0"/>
    <w:rsid w:val="00BF3540"/>
    <w:rsid w:val="00C0200B"/>
    <w:rsid w:val="00C11C63"/>
    <w:rsid w:val="00C14244"/>
    <w:rsid w:val="00C22B57"/>
    <w:rsid w:val="00C2629F"/>
    <w:rsid w:val="00C310B0"/>
    <w:rsid w:val="00C36755"/>
    <w:rsid w:val="00C3740C"/>
    <w:rsid w:val="00C37B97"/>
    <w:rsid w:val="00C53B99"/>
    <w:rsid w:val="00C55A5C"/>
    <w:rsid w:val="00C5689E"/>
    <w:rsid w:val="00C578C9"/>
    <w:rsid w:val="00C63149"/>
    <w:rsid w:val="00C63A02"/>
    <w:rsid w:val="00C658AB"/>
    <w:rsid w:val="00C67FF4"/>
    <w:rsid w:val="00C748F2"/>
    <w:rsid w:val="00C8247C"/>
    <w:rsid w:val="00C853F6"/>
    <w:rsid w:val="00C859B5"/>
    <w:rsid w:val="00C86D46"/>
    <w:rsid w:val="00C90195"/>
    <w:rsid w:val="00C917F1"/>
    <w:rsid w:val="00C9298E"/>
    <w:rsid w:val="00C93DA8"/>
    <w:rsid w:val="00CA5692"/>
    <w:rsid w:val="00CA5C4F"/>
    <w:rsid w:val="00CA75E6"/>
    <w:rsid w:val="00CB15D6"/>
    <w:rsid w:val="00CB3B61"/>
    <w:rsid w:val="00CC0817"/>
    <w:rsid w:val="00CC5000"/>
    <w:rsid w:val="00CC5F61"/>
    <w:rsid w:val="00CD6010"/>
    <w:rsid w:val="00CD7B39"/>
    <w:rsid w:val="00CE0007"/>
    <w:rsid w:val="00CE7682"/>
    <w:rsid w:val="00CF17A6"/>
    <w:rsid w:val="00D00492"/>
    <w:rsid w:val="00D025EC"/>
    <w:rsid w:val="00D04F25"/>
    <w:rsid w:val="00D054CA"/>
    <w:rsid w:val="00D129C2"/>
    <w:rsid w:val="00D35CB0"/>
    <w:rsid w:val="00D36933"/>
    <w:rsid w:val="00D36A2B"/>
    <w:rsid w:val="00D44617"/>
    <w:rsid w:val="00D478BE"/>
    <w:rsid w:val="00D47F2E"/>
    <w:rsid w:val="00D513F6"/>
    <w:rsid w:val="00D51A7C"/>
    <w:rsid w:val="00D562F3"/>
    <w:rsid w:val="00D6133D"/>
    <w:rsid w:val="00D83837"/>
    <w:rsid w:val="00D8595D"/>
    <w:rsid w:val="00D86C88"/>
    <w:rsid w:val="00D903A0"/>
    <w:rsid w:val="00D95E17"/>
    <w:rsid w:val="00D96AB6"/>
    <w:rsid w:val="00DA0EEC"/>
    <w:rsid w:val="00DA1265"/>
    <w:rsid w:val="00DA5B96"/>
    <w:rsid w:val="00DB2527"/>
    <w:rsid w:val="00DB404C"/>
    <w:rsid w:val="00DC01CC"/>
    <w:rsid w:val="00DC43C4"/>
    <w:rsid w:val="00DD392A"/>
    <w:rsid w:val="00DD3F5F"/>
    <w:rsid w:val="00DD446C"/>
    <w:rsid w:val="00DD4B50"/>
    <w:rsid w:val="00DD6DBD"/>
    <w:rsid w:val="00DE3C6C"/>
    <w:rsid w:val="00DE6307"/>
    <w:rsid w:val="00DE6D16"/>
    <w:rsid w:val="00DE739E"/>
    <w:rsid w:val="00DE7D28"/>
    <w:rsid w:val="00DF22F2"/>
    <w:rsid w:val="00E023CF"/>
    <w:rsid w:val="00E051C2"/>
    <w:rsid w:val="00E051D7"/>
    <w:rsid w:val="00E10904"/>
    <w:rsid w:val="00E169FC"/>
    <w:rsid w:val="00E21C51"/>
    <w:rsid w:val="00E230A5"/>
    <w:rsid w:val="00E262FA"/>
    <w:rsid w:val="00E26956"/>
    <w:rsid w:val="00E3042C"/>
    <w:rsid w:val="00E32EF2"/>
    <w:rsid w:val="00E33FB0"/>
    <w:rsid w:val="00E35F8A"/>
    <w:rsid w:val="00E3782A"/>
    <w:rsid w:val="00E46636"/>
    <w:rsid w:val="00E515FD"/>
    <w:rsid w:val="00E55683"/>
    <w:rsid w:val="00E60414"/>
    <w:rsid w:val="00E669A2"/>
    <w:rsid w:val="00E6718F"/>
    <w:rsid w:val="00E722E9"/>
    <w:rsid w:val="00E7275D"/>
    <w:rsid w:val="00E74A59"/>
    <w:rsid w:val="00E75A92"/>
    <w:rsid w:val="00E774F3"/>
    <w:rsid w:val="00E83BE6"/>
    <w:rsid w:val="00E87F09"/>
    <w:rsid w:val="00E923EE"/>
    <w:rsid w:val="00E949CF"/>
    <w:rsid w:val="00E97320"/>
    <w:rsid w:val="00EA008B"/>
    <w:rsid w:val="00EA1A1A"/>
    <w:rsid w:val="00EA41FC"/>
    <w:rsid w:val="00EA7D8B"/>
    <w:rsid w:val="00EB1F68"/>
    <w:rsid w:val="00EB5E3D"/>
    <w:rsid w:val="00EC10C3"/>
    <w:rsid w:val="00EC1133"/>
    <w:rsid w:val="00ED264E"/>
    <w:rsid w:val="00ED407C"/>
    <w:rsid w:val="00EE1CCC"/>
    <w:rsid w:val="00EF093D"/>
    <w:rsid w:val="00EF1736"/>
    <w:rsid w:val="00EF5C97"/>
    <w:rsid w:val="00EF7D51"/>
    <w:rsid w:val="00EF7E7F"/>
    <w:rsid w:val="00F0554C"/>
    <w:rsid w:val="00F1456B"/>
    <w:rsid w:val="00F16C18"/>
    <w:rsid w:val="00F17C52"/>
    <w:rsid w:val="00F33ABE"/>
    <w:rsid w:val="00F358A4"/>
    <w:rsid w:val="00F4089A"/>
    <w:rsid w:val="00F479EA"/>
    <w:rsid w:val="00F503FE"/>
    <w:rsid w:val="00F62686"/>
    <w:rsid w:val="00F62EFF"/>
    <w:rsid w:val="00F64052"/>
    <w:rsid w:val="00F64B74"/>
    <w:rsid w:val="00F710CC"/>
    <w:rsid w:val="00F72C04"/>
    <w:rsid w:val="00F802ED"/>
    <w:rsid w:val="00F81B6E"/>
    <w:rsid w:val="00F8622B"/>
    <w:rsid w:val="00F86B40"/>
    <w:rsid w:val="00F90BE2"/>
    <w:rsid w:val="00F91F34"/>
    <w:rsid w:val="00F9391B"/>
    <w:rsid w:val="00F978A0"/>
    <w:rsid w:val="00FA3472"/>
    <w:rsid w:val="00FA7C71"/>
    <w:rsid w:val="00FB2CE7"/>
    <w:rsid w:val="00FB476A"/>
    <w:rsid w:val="00FC0610"/>
    <w:rsid w:val="00FC0745"/>
    <w:rsid w:val="00FC0E4D"/>
    <w:rsid w:val="00FC226F"/>
    <w:rsid w:val="00FC4E4A"/>
    <w:rsid w:val="00FD2153"/>
    <w:rsid w:val="00FD4DD4"/>
    <w:rsid w:val="00FE2032"/>
    <w:rsid w:val="00FE3FA0"/>
    <w:rsid w:val="00FE6C44"/>
    <w:rsid w:val="00FF7512"/>
    <w:rsid w:val="0137C5F1"/>
    <w:rsid w:val="0191529F"/>
    <w:rsid w:val="01C56BFB"/>
    <w:rsid w:val="01F71B3C"/>
    <w:rsid w:val="02121894"/>
    <w:rsid w:val="021521FD"/>
    <w:rsid w:val="0225BBC5"/>
    <w:rsid w:val="023FAFC5"/>
    <w:rsid w:val="02AE98A6"/>
    <w:rsid w:val="02B1731D"/>
    <w:rsid w:val="02D665E7"/>
    <w:rsid w:val="03787F67"/>
    <w:rsid w:val="0389BA82"/>
    <w:rsid w:val="03A19F5B"/>
    <w:rsid w:val="03C0FE79"/>
    <w:rsid w:val="03F7EB23"/>
    <w:rsid w:val="0415137F"/>
    <w:rsid w:val="0419957E"/>
    <w:rsid w:val="041F3E44"/>
    <w:rsid w:val="0420569E"/>
    <w:rsid w:val="0455C043"/>
    <w:rsid w:val="046D0E91"/>
    <w:rsid w:val="050FE404"/>
    <w:rsid w:val="052A0156"/>
    <w:rsid w:val="052B7713"/>
    <w:rsid w:val="052F2E7B"/>
    <w:rsid w:val="05A342F5"/>
    <w:rsid w:val="05C6A971"/>
    <w:rsid w:val="05CCB822"/>
    <w:rsid w:val="05D9E2C3"/>
    <w:rsid w:val="05DFFD45"/>
    <w:rsid w:val="05F4E36A"/>
    <w:rsid w:val="05F809B7"/>
    <w:rsid w:val="0602479F"/>
    <w:rsid w:val="06642F67"/>
    <w:rsid w:val="067F580B"/>
    <w:rsid w:val="06B072A6"/>
    <w:rsid w:val="06E463D8"/>
    <w:rsid w:val="07064457"/>
    <w:rsid w:val="071357F1"/>
    <w:rsid w:val="075BA8CD"/>
    <w:rsid w:val="07684DCB"/>
    <w:rsid w:val="07C0E0D8"/>
    <w:rsid w:val="07CCC31F"/>
    <w:rsid w:val="0867E0C4"/>
    <w:rsid w:val="08A3631D"/>
    <w:rsid w:val="09635226"/>
    <w:rsid w:val="09A7F101"/>
    <w:rsid w:val="09B29C46"/>
    <w:rsid w:val="09B3311D"/>
    <w:rsid w:val="09DEBE0B"/>
    <w:rsid w:val="09F9302C"/>
    <w:rsid w:val="0A3507BF"/>
    <w:rsid w:val="0A3754B4"/>
    <w:rsid w:val="0A379688"/>
    <w:rsid w:val="0A6EFD9C"/>
    <w:rsid w:val="0AAA20BF"/>
    <w:rsid w:val="0AAAEC81"/>
    <w:rsid w:val="0AC20254"/>
    <w:rsid w:val="0AD89C3D"/>
    <w:rsid w:val="0AFF2287"/>
    <w:rsid w:val="0B0489DD"/>
    <w:rsid w:val="0B281918"/>
    <w:rsid w:val="0B5320DE"/>
    <w:rsid w:val="0BA3229C"/>
    <w:rsid w:val="0BA5F9F1"/>
    <w:rsid w:val="0BE488A6"/>
    <w:rsid w:val="0C0F2A57"/>
    <w:rsid w:val="0C108D72"/>
    <w:rsid w:val="0C15E0AB"/>
    <w:rsid w:val="0C461D72"/>
    <w:rsid w:val="0C66DDD0"/>
    <w:rsid w:val="0C7875F7"/>
    <w:rsid w:val="0CE03E85"/>
    <w:rsid w:val="0D16D91A"/>
    <w:rsid w:val="0D1839F4"/>
    <w:rsid w:val="0DE4E421"/>
    <w:rsid w:val="0DF5C9FE"/>
    <w:rsid w:val="0DFCEDA3"/>
    <w:rsid w:val="0E20E8A8"/>
    <w:rsid w:val="0E36C349"/>
    <w:rsid w:val="0E65330B"/>
    <w:rsid w:val="0EBCBE61"/>
    <w:rsid w:val="0ECA9F0F"/>
    <w:rsid w:val="0EF23587"/>
    <w:rsid w:val="0FA718B5"/>
    <w:rsid w:val="0FB5428A"/>
    <w:rsid w:val="0FC58C7D"/>
    <w:rsid w:val="0FD293AA"/>
    <w:rsid w:val="0FEB0C90"/>
    <w:rsid w:val="1032E526"/>
    <w:rsid w:val="10579C39"/>
    <w:rsid w:val="109221F7"/>
    <w:rsid w:val="10CC0808"/>
    <w:rsid w:val="10F9A731"/>
    <w:rsid w:val="11038694"/>
    <w:rsid w:val="110DB087"/>
    <w:rsid w:val="112B4B4D"/>
    <w:rsid w:val="112DC1EB"/>
    <w:rsid w:val="1158896A"/>
    <w:rsid w:val="1167E392"/>
    <w:rsid w:val="117D9C90"/>
    <w:rsid w:val="117DD8BA"/>
    <w:rsid w:val="11E35E61"/>
    <w:rsid w:val="11EF5C01"/>
    <w:rsid w:val="121E4996"/>
    <w:rsid w:val="1229E8E7"/>
    <w:rsid w:val="126A290C"/>
    <w:rsid w:val="128C07E0"/>
    <w:rsid w:val="132589E6"/>
    <w:rsid w:val="132B1775"/>
    <w:rsid w:val="134DA667"/>
    <w:rsid w:val="13CEEBD1"/>
    <w:rsid w:val="13D83150"/>
    <w:rsid w:val="1411092B"/>
    <w:rsid w:val="14209271"/>
    <w:rsid w:val="143A1394"/>
    <w:rsid w:val="14852CC0"/>
    <w:rsid w:val="148C05F5"/>
    <w:rsid w:val="14AECB34"/>
    <w:rsid w:val="14FE9D3C"/>
    <w:rsid w:val="15037A78"/>
    <w:rsid w:val="151807C9"/>
    <w:rsid w:val="1526FCC3"/>
    <w:rsid w:val="1533C291"/>
    <w:rsid w:val="15A037EE"/>
    <w:rsid w:val="15F25336"/>
    <w:rsid w:val="15FE3338"/>
    <w:rsid w:val="162753C2"/>
    <w:rsid w:val="1634828B"/>
    <w:rsid w:val="16436CBD"/>
    <w:rsid w:val="16ADF533"/>
    <w:rsid w:val="16F7FE7D"/>
    <w:rsid w:val="173C2A45"/>
    <w:rsid w:val="174A1983"/>
    <w:rsid w:val="1750E198"/>
    <w:rsid w:val="178DFD63"/>
    <w:rsid w:val="17CB8565"/>
    <w:rsid w:val="17E29F92"/>
    <w:rsid w:val="1801B96C"/>
    <w:rsid w:val="1823B4E3"/>
    <w:rsid w:val="1857D89F"/>
    <w:rsid w:val="18683976"/>
    <w:rsid w:val="18BD1EB9"/>
    <w:rsid w:val="1935329B"/>
    <w:rsid w:val="194EC3B7"/>
    <w:rsid w:val="19543357"/>
    <w:rsid w:val="19A88CA6"/>
    <w:rsid w:val="1A10E454"/>
    <w:rsid w:val="1A226D82"/>
    <w:rsid w:val="1A98F047"/>
    <w:rsid w:val="1AFBECD1"/>
    <w:rsid w:val="1B2C317B"/>
    <w:rsid w:val="1B4CC390"/>
    <w:rsid w:val="1B6E4F5C"/>
    <w:rsid w:val="1B92B2C7"/>
    <w:rsid w:val="1BA78FD5"/>
    <w:rsid w:val="1BA8425F"/>
    <w:rsid w:val="1BB8776F"/>
    <w:rsid w:val="1BEA0686"/>
    <w:rsid w:val="1C02460D"/>
    <w:rsid w:val="1C0C16C4"/>
    <w:rsid w:val="1C228A5A"/>
    <w:rsid w:val="1C3EB924"/>
    <w:rsid w:val="1C749EAD"/>
    <w:rsid w:val="1CAA0AD1"/>
    <w:rsid w:val="1CBDCE27"/>
    <w:rsid w:val="1D64EA34"/>
    <w:rsid w:val="1DAECF58"/>
    <w:rsid w:val="1DC29F44"/>
    <w:rsid w:val="1DC3DD6A"/>
    <w:rsid w:val="1DEAD535"/>
    <w:rsid w:val="1E44F155"/>
    <w:rsid w:val="1E49E9EA"/>
    <w:rsid w:val="1EBE0F01"/>
    <w:rsid w:val="1EFF75D2"/>
    <w:rsid w:val="1F163B98"/>
    <w:rsid w:val="1F266348"/>
    <w:rsid w:val="1F6A25E8"/>
    <w:rsid w:val="20329D30"/>
    <w:rsid w:val="2082F208"/>
    <w:rsid w:val="20B5EFC5"/>
    <w:rsid w:val="214251B2"/>
    <w:rsid w:val="2148C506"/>
    <w:rsid w:val="21CA7294"/>
    <w:rsid w:val="21D8D87D"/>
    <w:rsid w:val="21FBDF2E"/>
    <w:rsid w:val="224260CE"/>
    <w:rsid w:val="226CE7D0"/>
    <w:rsid w:val="22AD3577"/>
    <w:rsid w:val="230F8F27"/>
    <w:rsid w:val="2337DF42"/>
    <w:rsid w:val="238098D7"/>
    <w:rsid w:val="23815E18"/>
    <w:rsid w:val="23906078"/>
    <w:rsid w:val="23A7D4AF"/>
    <w:rsid w:val="23CA63B1"/>
    <w:rsid w:val="23FEFAA3"/>
    <w:rsid w:val="243B8AA2"/>
    <w:rsid w:val="243C8FB5"/>
    <w:rsid w:val="2442ACEF"/>
    <w:rsid w:val="244A977E"/>
    <w:rsid w:val="24891A4B"/>
    <w:rsid w:val="24CABC2C"/>
    <w:rsid w:val="24F1F56F"/>
    <w:rsid w:val="25083994"/>
    <w:rsid w:val="250E2738"/>
    <w:rsid w:val="25374630"/>
    <w:rsid w:val="25732484"/>
    <w:rsid w:val="2580C72B"/>
    <w:rsid w:val="258676F5"/>
    <w:rsid w:val="2597F610"/>
    <w:rsid w:val="25D36519"/>
    <w:rsid w:val="25D5A470"/>
    <w:rsid w:val="25E667DF"/>
    <w:rsid w:val="264E60FD"/>
    <w:rsid w:val="26759231"/>
    <w:rsid w:val="268332B0"/>
    <w:rsid w:val="26ACC77C"/>
    <w:rsid w:val="2733C671"/>
    <w:rsid w:val="275763E4"/>
    <w:rsid w:val="2785D8B9"/>
    <w:rsid w:val="280A3421"/>
    <w:rsid w:val="2814BF99"/>
    <w:rsid w:val="2839684D"/>
    <w:rsid w:val="2870024D"/>
    <w:rsid w:val="28757A0F"/>
    <w:rsid w:val="28AA4C1B"/>
    <w:rsid w:val="28DE72FF"/>
    <w:rsid w:val="295C0FDB"/>
    <w:rsid w:val="29930244"/>
    <w:rsid w:val="29D8F621"/>
    <w:rsid w:val="2A0066E2"/>
    <w:rsid w:val="2A454DB6"/>
    <w:rsid w:val="2A917BFD"/>
    <w:rsid w:val="2AA7237D"/>
    <w:rsid w:val="2AD5E36E"/>
    <w:rsid w:val="2AD88783"/>
    <w:rsid w:val="2B0454A3"/>
    <w:rsid w:val="2B04C399"/>
    <w:rsid w:val="2B481CA2"/>
    <w:rsid w:val="2B568CDD"/>
    <w:rsid w:val="2B6C0E1F"/>
    <w:rsid w:val="2B9B273A"/>
    <w:rsid w:val="2BC56291"/>
    <w:rsid w:val="2BEB21C5"/>
    <w:rsid w:val="2C0A393B"/>
    <w:rsid w:val="2C2275AF"/>
    <w:rsid w:val="2C2DDDE1"/>
    <w:rsid w:val="2C53105E"/>
    <w:rsid w:val="2D106B73"/>
    <w:rsid w:val="2D31C035"/>
    <w:rsid w:val="2D52788F"/>
    <w:rsid w:val="2DCA7FEC"/>
    <w:rsid w:val="2DD18466"/>
    <w:rsid w:val="2E54584B"/>
    <w:rsid w:val="2E984897"/>
    <w:rsid w:val="2F1F5A49"/>
    <w:rsid w:val="2F392077"/>
    <w:rsid w:val="2F9F5F1F"/>
    <w:rsid w:val="2FCA01BE"/>
    <w:rsid w:val="2FD16C32"/>
    <w:rsid w:val="30581F43"/>
    <w:rsid w:val="309DA22C"/>
    <w:rsid w:val="30D49659"/>
    <w:rsid w:val="311CAB0C"/>
    <w:rsid w:val="312D8514"/>
    <w:rsid w:val="316980D2"/>
    <w:rsid w:val="31815AD6"/>
    <w:rsid w:val="318CCE4E"/>
    <w:rsid w:val="31BD283E"/>
    <w:rsid w:val="31CFE959"/>
    <w:rsid w:val="31D70B9B"/>
    <w:rsid w:val="31F48E3C"/>
    <w:rsid w:val="3214ECE1"/>
    <w:rsid w:val="32225EC2"/>
    <w:rsid w:val="323097DC"/>
    <w:rsid w:val="32AE3DF3"/>
    <w:rsid w:val="3350091F"/>
    <w:rsid w:val="33514593"/>
    <w:rsid w:val="33690928"/>
    <w:rsid w:val="337C17C0"/>
    <w:rsid w:val="34162EBE"/>
    <w:rsid w:val="342092B0"/>
    <w:rsid w:val="342C035C"/>
    <w:rsid w:val="3434CAD1"/>
    <w:rsid w:val="3460AD90"/>
    <w:rsid w:val="346FDDE7"/>
    <w:rsid w:val="34D15734"/>
    <w:rsid w:val="34E6F507"/>
    <w:rsid w:val="34EA0902"/>
    <w:rsid w:val="34FBA60A"/>
    <w:rsid w:val="34FC1152"/>
    <w:rsid w:val="352D318F"/>
    <w:rsid w:val="352D4A4B"/>
    <w:rsid w:val="3536E3D7"/>
    <w:rsid w:val="3544C9CF"/>
    <w:rsid w:val="355E9A67"/>
    <w:rsid w:val="36C00B8C"/>
    <w:rsid w:val="370D08A4"/>
    <w:rsid w:val="371A162C"/>
    <w:rsid w:val="371F048A"/>
    <w:rsid w:val="375EC912"/>
    <w:rsid w:val="37960800"/>
    <w:rsid w:val="3799B81A"/>
    <w:rsid w:val="379BF9F7"/>
    <w:rsid w:val="37A0C18A"/>
    <w:rsid w:val="37BDCE96"/>
    <w:rsid w:val="37BF4003"/>
    <w:rsid w:val="37C557A9"/>
    <w:rsid w:val="37F185AC"/>
    <w:rsid w:val="384A1075"/>
    <w:rsid w:val="385E9331"/>
    <w:rsid w:val="3897D733"/>
    <w:rsid w:val="38C52B76"/>
    <w:rsid w:val="38F0DC74"/>
    <w:rsid w:val="3940FA0B"/>
    <w:rsid w:val="39504ADB"/>
    <w:rsid w:val="39582508"/>
    <w:rsid w:val="3975D99E"/>
    <w:rsid w:val="39974425"/>
    <w:rsid w:val="39A5D1FE"/>
    <w:rsid w:val="39B20733"/>
    <w:rsid w:val="39E815BF"/>
    <w:rsid w:val="3A2F0511"/>
    <w:rsid w:val="3A3DB82B"/>
    <w:rsid w:val="3A4C2FF7"/>
    <w:rsid w:val="3A5342CC"/>
    <w:rsid w:val="3AA734D4"/>
    <w:rsid w:val="3AC97CEE"/>
    <w:rsid w:val="3AECA6D3"/>
    <w:rsid w:val="3B08ED7B"/>
    <w:rsid w:val="3B125778"/>
    <w:rsid w:val="3B1453C6"/>
    <w:rsid w:val="3B668A3A"/>
    <w:rsid w:val="3B8CCCB4"/>
    <w:rsid w:val="3BA7D19C"/>
    <w:rsid w:val="3BC1370A"/>
    <w:rsid w:val="3BDBEDE6"/>
    <w:rsid w:val="3BE8AED4"/>
    <w:rsid w:val="3C090799"/>
    <w:rsid w:val="3C0D470E"/>
    <w:rsid w:val="3C33146B"/>
    <w:rsid w:val="3C5817B1"/>
    <w:rsid w:val="3C8CF169"/>
    <w:rsid w:val="3CBD8156"/>
    <w:rsid w:val="3CC628ED"/>
    <w:rsid w:val="3CD004D4"/>
    <w:rsid w:val="3D08D300"/>
    <w:rsid w:val="3DCF01D1"/>
    <w:rsid w:val="3DDCB2BF"/>
    <w:rsid w:val="3E5051B6"/>
    <w:rsid w:val="3E66D9A5"/>
    <w:rsid w:val="3E6B9C31"/>
    <w:rsid w:val="3E70FAFC"/>
    <w:rsid w:val="3E743822"/>
    <w:rsid w:val="3E928A56"/>
    <w:rsid w:val="3EB5026B"/>
    <w:rsid w:val="3ECFBADD"/>
    <w:rsid w:val="3ED11714"/>
    <w:rsid w:val="3ED3C9C6"/>
    <w:rsid w:val="3ED83EC0"/>
    <w:rsid w:val="3EF4F513"/>
    <w:rsid w:val="3F08FEDD"/>
    <w:rsid w:val="3F0D23A1"/>
    <w:rsid w:val="3F1A0C83"/>
    <w:rsid w:val="3F1F7FF8"/>
    <w:rsid w:val="3F250F47"/>
    <w:rsid w:val="3F3C1C8D"/>
    <w:rsid w:val="3F3D2E7E"/>
    <w:rsid w:val="3F5C5702"/>
    <w:rsid w:val="3F64B60C"/>
    <w:rsid w:val="3F982AFA"/>
    <w:rsid w:val="3FAA6E35"/>
    <w:rsid w:val="3FCD7863"/>
    <w:rsid w:val="3FE39579"/>
    <w:rsid w:val="40332F74"/>
    <w:rsid w:val="403BD550"/>
    <w:rsid w:val="4043805B"/>
    <w:rsid w:val="407F7BC1"/>
    <w:rsid w:val="40A90AA2"/>
    <w:rsid w:val="40D3BB1E"/>
    <w:rsid w:val="41B63453"/>
    <w:rsid w:val="41CB6717"/>
    <w:rsid w:val="4224BB13"/>
    <w:rsid w:val="42442493"/>
    <w:rsid w:val="4258396D"/>
    <w:rsid w:val="42C5326A"/>
    <w:rsid w:val="432FD875"/>
    <w:rsid w:val="4334C144"/>
    <w:rsid w:val="43421655"/>
    <w:rsid w:val="4399315D"/>
    <w:rsid w:val="440668DB"/>
    <w:rsid w:val="440805CC"/>
    <w:rsid w:val="441F56D6"/>
    <w:rsid w:val="4489C617"/>
    <w:rsid w:val="44EAAF3A"/>
    <w:rsid w:val="4531630F"/>
    <w:rsid w:val="45683A6E"/>
    <w:rsid w:val="459BF549"/>
    <w:rsid w:val="45B5C6FB"/>
    <w:rsid w:val="45CCBD0D"/>
    <w:rsid w:val="45E8ED7A"/>
    <w:rsid w:val="464BF03D"/>
    <w:rsid w:val="4686F183"/>
    <w:rsid w:val="46B9862D"/>
    <w:rsid w:val="46E2C2D4"/>
    <w:rsid w:val="46F7F9CF"/>
    <w:rsid w:val="473EBA15"/>
    <w:rsid w:val="4749257D"/>
    <w:rsid w:val="477EA8D7"/>
    <w:rsid w:val="47B9C050"/>
    <w:rsid w:val="47CE9841"/>
    <w:rsid w:val="47D7803F"/>
    <w:rsid w:val="48007907"/>
    <w:rsid w:val="483A3B8B"/>
    <w:rsid w:val="48A03326"/>
    <w:rsid w:val="48C3B648"/>
    <w:rsid w:val="48CB9546"/>
    <w:rsid w:val="48CD4795"/>
    <w:rsid w:val="4915A593"/>
    <w:rsid w:val="49724014"/>
    <w:rsid w:val="498390FF"/>
    <w:rsid w:val="499E3B97"/>
    <w:rsid w:val="49A50719"/>
    <w:rsid w:val="49B76DBA"/>
    <w:rsid w:val="49BFCF5B"/>
    <w:rsid w:val="4A2F41FE"/>
    <w:rsid w:val="4A4FE441"/>
    <w:rsid w:val="4A5E1549"/>
    <w:rsid w:val="4A6D4B93"/>
    <w:rsid w:val="4A75B3B9"/>
    <w:rsid w:val="4A93C67A"/>
    <w:rsid w:val="4AFE2D35"/>
    <w:rsid w:val="4B07ACCB"/>
    <w:rsid w:val="4B2F4D66"/>
    <w:rsid w:val="4B35EF8C"/>
    <w:rsid w:val="4B9D1BD0"/>
    <w:rsid w:val="4BB7BEE9"/>
    <w:rsid w:val="4C7B0F24"/>
    <w:rsid w:val="4D553EC2"/>
    <w:rsid w:val="4D572932"/>
    <w:rsid w:val="4D78880A"/>
    <w:rsid w:val="4DA84E9D"/>
    <w:rsid w:val="4DB65652"/>
    <w:rsid w:val="4DD8C405"/>
    <w:rsid w:val="4DE3E69C"/>
    <w:rsid w:val="4E1D404D"/>
    <w:rsid w:val="4E6B9F16"/>
    <w:rsid w:val="4EC0D1E0"/>
    <w:rsid w:val="4EC615AD"/>
    <w:rsid w:val="4EF5898A"/>
    <w:rsid w:val="4F0E315F"/>
    <w:rsid w:val="4F32E083"/>
    <w:rsid w:val="4F3A732A"/>
    <w:rsid w:val="4FA3BD84"/>
    <w:rsid w:val="4FEBBF36"/>
    <w:rsid w:val="50538AA8"/>
    <w:rsid w:val="5053C212"/>
    <w:rsid w:val="50A2E0FC"/>
    <w:rsid w:val="50C32EC7"/>
    <w:rsid w:val="50D0B01D"/>
    <w:rsid w:val="50F614ED"/>
    <w:rsid w:val="51162AAD"/>
    <w:rsid w:val="513EBF29"/>
    <w:rsid w:val="514D36AF"/>
    <w:rsid w:val="5156C9E9"/>
    <w:rsid w:val="519554D8"/>
    <w:rsid w:val="5199A5B1"/>
    <w:rsid w:val="51ABA65E"/>
    <w:rsid w:val="51D571EA"/>
    <w:rsid w:val="51DD0225"/>
    <w:rsid w:val="51F48FEF"/>
    <w:rsid w:val="51FFA116"/>
    <w:rsid w:val="52109D8A"/>
    <w:rsid w:val="5226A8B0"/>
    <w:rsid w:val="52E4E84F"/>
    <w:rsid w:val="52F0FDDB"/>
    <w:rsid w:val="531E0A3A"/>
    <w:rsid w:val="53253F86"/>
    <w:rsid w:val="532EDB4E"/>
    <w:rsid w:val="5384B607"/>
    <w:rsid w:val="53D8B350"/>
    <w:rsid w:val="53EF71AC"/>
    <w:rsid w:val="5405628A"/>
    <w:rsid w:val="5416FD4F"/>
    <w:rsid w:val="541958D8"/>
    <w:rsid w:val="541B012C"/>
    <w:rsid w:val="5421B155"/>
    <w:rsid w:val="543CFCF7"/>
    <w:rsid w:val="5499D079"/>
    <w:rsid w:val="54F9553F"/>
    <w:rsid w:val="55029184"/>
    <w:rsid w:val="550D2286"/>
    <w:rsid w:val="55226801"/>
    <w:rsid w:val="55488967"/>
    <w:rsid w:val="5563F46D"/>
    <w:rsid w:val="55E82D87"/>
    <w:rsid w:val="55E93D52"/>
    <w:rsid w:val="55FCC2ED"/>
    <w:rsid w:val="560079A7"/>
    <w:rsid w:val="564365AE"/>
    <w:rsid w:val="56B79202"/>
    <w:rsid w:val="56F06E37"/>
    <w:rsid w:val="573A20DA"/>
    <w:rsid w:val="5745803F"/>
    <w:rsid w:val="57561E8F"/>
    <w:rsid w:val="5761A50A"/>
    <w:rsid w:val="57A18E37"/>
    <w:rsid w:val="57BEBBBF"/>
    <w:rsid w:val="57C28B66"/>
    <w:rsid w:val="57F9A110"/>
    <w:rsid w:val="58019180"/>
    <w:rsid w:val="5835B364"/>
    <w:rsid w:val="587FDF0E"/>
    <w:rsid w:val="5894A509"/>
    <w:rsid w:val="58A21F49"/>
    <w:rsid w:val="58CB4968"/>
    <w:rsid w:val="58E38C46"/>
    <w:rsid w:val="5908B940"/>
    <w:rsid w:val="593961CD"/>
    <w:rsid w:val="5998AE7B"/>
    <w:rsid w:val="59CB9071"/>
    <w:rsid w:val="5A11C3B6"/>
    <w:rsid w:val="5A40A37D"/>
    <w:rsid w:val="5A6FACC5"/>
    <w:rsid w:val="5AA0570A"/>
    <w:rsid w:val="5AB87E38"/>
    <w:rsid w:val="5BCEAF45"/>
    <w:rsid w:val="5BFAFCA5"/>
    <w:rsid w:val="5C1B7D61"/>
    <w:rsid w:val="5C214733"/>
    <w:rsid w:val="5C80B4E0"/>
    <w:rsid w:val="5CF025F1"/>
    <w:rsid w:val="5CF2554E"/>
    <w:rsid w:val="5D1302B1"/>
    <w:rsid w:val="5D293606"/>
    <w:rsid w:val="5D70F452"/>
    <w:rsid w:val="5D756438"/>
    <w:rsid w:val="5D8F32A9"/>
    <w:rsid w:val="5DB0B009"/>
    <w:rsid w:val="5DC5187E"/>
    <w:rsid w:val="5DFC05BD"/>
    <w:rsid w:val="5E0A3E76"/>
    <w:rsid w:val="5E78B45B"/>
    <w:rsid w:val="5E8C7EF2"/>
    <w:rsid w:val="5E96F28A"/>
    <w:rsid w:val="5EF2F667"/>
    <w:rsid w:val="5F245B3D"/>
    <w:rsid w:val="5F3F4618"/>
    <w:rsid w:val="5F491CEA"/>
    <w:rsid w:val="5F4EE72D"/>
    <w:rsid w:val="5F5F5D15"/>
    <w:rsid w:val="5F5F82A1"/>
    <w:rsid w:val="604A61DC"/>
    <w:rsid w:val="604F0036"/>
    <w:rsid w:val="607FC259"/>
    <w:rsid w:val="6081A8B8"/>
    <w:rsid w:val="608E8E0D"/>
    <w:rsid w:val="60B70D30"/>
    <w:rsid w:val="60C308E4"/>
    <w:rsid w:val="60DED00A"/>
    <w:rsid w:val="60E70EAB"/>
    <w:rsid w:val="61424740"/>
    <w:rsid w:val="61429B60"/>
    <w:rsid w:val="617A637A"/>
    <w:rsid w:val="617DAB0C"/>
    <w:rsid w:val="61A49ED1"/>
    <w:rsid w:val="620F95E2"/>
    <w:rsid w:val="626A3CE5"/>
    <w:rsid w:val="628D5519"/>
    <w:rsid w:val="62B0719B"/>
    <w:rsid w:val="62CD7966"/>
    <w:rsid w:val="63176DAB"/>
    <w:rsid w:val="6320E198"/>
    <w:rsid w:val="63430FAC"/>
    <w:rsid w:val="636E0648"/>
    <w:rsid w:val="63C05752"/>
    <w:rsid w:val="63CB8005"/>
    <w:rsid w:val="644C20CA"/>
    <w:rsid w:val="64687861"/>
    <w:rsid w:val="66453F46"/>
    <w:rsid w:val="669EEE76"/>
    <w:rsid w:val="66E57808"/>
    <w:rsid w:val="66EA1E59"/>
    <w:rsid w:val="67263877"/>
    <w:rsid w:val="67347EEA"/>
    <w:rsid w:val="6763DD31"/>
    <w:rsid w:val="6775E37E"/>
    <w:rsid w:val="6797F6B9"/>
    <w:rsid w:val="67A2BE33"/>
    <w:rsid w:val="68622947"/>
    <w:rsid w:val="6881E837"/>
    <w:rsid w:val="689C109B"/>
    <w:rsid w:val="68C4BB1A"/>
    <w:rsid w:val="68C84E03"/>
    <w:rsid w:val="692D4756"/>
    <w:rsid w:val="6931267F"/>
    <w:rsid w:val="6939C223"/>
    <w:rsid w:val="6990EBDB"/>
    <w:rsid w:val="69988ED7"/>
    <w:rsid w:val="69BBC277"/>
    <w:rsid w:val="6A2A6DDB"/>
    <w:rsid w:val="6A327B57"/>
    <w:rsid w:val="6A411623"/>
    <w:rsid w:val="6A5150D2"/>
    <w:rsid w:val="6A7EF118"/>
    <w:rsid w:val="6A8277E0"/>
    <w:rsid w:val="6ACDDE4E"/>
    <w:rsid w:val="6AD52D26"/>
    <w:rsid w:val="6AFE5AC6"/>
    <w:rsid w:val="6B3410EF"/>
    <w:rsid w:val="6B5BC590"/>
    <w:rsid w:val="6B9BE54A"/>
    <w:rsid w:val="6BF3E7A0"/>
    <w:rsid w:val="6C1663C7"/>
    <w:rsid w:val="6C1BED10"/>
    <w:rsid w:val="6C471D97"/>
    <w:rsid w:val="6C4CBC51"/>
    <w:rsid w:val="6C5B08F2"/>
    <w:rsid w:val="6C63ADE0"/>
    <w:rsid w:val="6CA047C1"/>
    <w:rsid w:val="6CA83E30"/>
    <w:rsid w:val="6CD4C5F3"/>
    <w:rsid w:val="6CDECD75"/>
    <w:rsid w:val="6D00DE20"/>
    <w:rsid w:val="6D8B429A"/>
    <w:rsid w:val="6D934EF3"/>
    <w:rsid w:val="6DA19E48"/>
    <w:rsid w:val="6E05E9F8"/>
    <w:rsid w:val="6E7A9DD6"/>
    <w:rsid w:val="6EBBCD32"/>
    <w:rsid w:val="6F57E4A3"/>
    <w:rsid w:val="6FADB9DD"/>
    <w:rsid w:val="6FD792C0"/>
    <w:rsid w:val="6FDC9DD0"/>
    <w:rsid w:val="6FE38C50"/>
    <w:rsid w:val="6FF29E10"/>
    <w:rsid w:val="6FF71E26"/>
    <w:rsid w:val="6FFCA469"/>
    <w:rsid w:val="7042B22F"/>
    <w:rsid w:val="704A9F72"/>
    <w:rsid w:val="70565AA9"/>
    <w:rsid w:val="70805599"/>
    <w:rsid w:val="70A2AE0C"/>
    <w:rsid w:val="70BAED6E"/>
    <w:rsid w:val="70E09A19"/>
    <w:rsid w:val="710C45BD"/>
    <w:rsid w:val="71452DA9"/>
    <w:rsid w:val="7171D4A3"/>
    <w:rsid w:val="71A9718A"/>
    <w:rsid w:val="71C349D9"/>
    <w:rsid w:val="720665DF"/>
    <w:rsid w:val="725ECBC7"/>
    <w:rsid w:val="725EE5CB"/>
    <w:rsid w:val="7266D59C"/>
    <w:rsid w:val="72962B3F"/>
    <w:rsid w:val="72B56224"/>
    <w:rsid w:val="73007CE5"/>
    <w:rsid w:val="7334452B"/>
    <w:rsid w:val="73745F0E"/>
    <w:rsid w:val="744BC35D"/>
    <w:rsid w:val="745C1C74"/>
    <w:rsid w:val="74730295"/>
    <w:rsid w:val="74959AE0"/>
    <w:rsid w:val="7498BF60"/>
    <w:rsid w:val="74E19923"/>
    <w:rsid w:val="7502C11D"/>
    <w:rsid w:val="7517545A"/>
    <w:rsid w:val="7533582F"/>
    <w:rsid w:val="75B5FA29"/>
    <w:rsid w:val="75B9995C"/>
    <w:rsid w:val="75F35020"/>
    <w:rsid w:val="7644F82B"/>
    <w:rsid w:val="7659F8D9"/>
    <w:rsid w:val="768306F8"/>
    <w:rsid w:val="76AB4572"/>
    <w:rsid w:val="76C9691A"/>
    <w:rsid w:val="7757F463"/>
    <w:rsid w:val="776E1260"/>
    <w:rsid w:val="779F3FD8"/>
    <w:rsid w:val="77AFB5F5"/>
    <w:rsid w:val="77B41717"/>
    <w:rsid w:val="78101772"/>
    <w:rsid w:val="78466838"/>
    <w:rsid w:val="786AEE6F"/>
    <w:rsid w:val="787293C5"/>
    <w:rsid w:val="78780EBD"/>
    <w:rsid w:val="787DDE29"/>
    <w:rsid w:val="78D18119"/>
    <w:rsid w:val="78FA3884"/>
    <w:rsid w:val="792EC8B0"/>
    <w:rsid w:val="794E9FDE"/>
    <w:rsid w:val="794EDE31"/>
    <w:rsid w:val="797923DE"/>
    <w:rsid w:val="79796884"/>
    <w:rsid w:val="79C999FD"/>
    <w:rsid w:val="79DD1B98"/>
    <w:rsid w:val="79DF6128"/>
    <w:rsid w:val="79ECA1BF"/>
    <w:rsid w:val="79EDC3A0"/>
    <w:rsid w:val="79F88985"/>
    <w:rsid w:val="7A198980"/>
    <w:rsid w:val="7A8F5C1C"/>
    <w:rsid w:val="7AD413B4"/>
    <w:rsid w:val="7B882475"/>
    <w:rsid w:val="7B99A0B7"/>
    <w:rsid w:val="7BB398DA"/>
    <w:rsid w:val="7BCD762A"/>
    <w:rsid w:val="7C4718F1"/>
    <w:rsid w:val="7CA02D76"/>
    <w:rsid w:val="7CC1A508"/>
    <w:rsid w:val="7CC1FF14"/>
    <w:rsid w:val="7CD54D3E"/>
    <w:rsid w:val="7CE18D3A"/>
    <w:rsid w:val="7CE26E13"/>
    <w:rsid w:val="7D6506D2"/>
    <w:rsid w:val="7DE15D47"/>
    <w:rsid w:val="7E00BC7E"/>
    <w:rsid w:val="7E2367ED"/>
    <w:rsid w:val="7E4637B5"/>
    <w:rsid w:val="7E621FE1"/>
    <w:rsid w:val="7E626738"/>
    <w:rsid w:val="7E65BD56"/>
    <w:rsid w:val="7EA4748A"/>
    <w:rsid w:val="7EB77F14"/>
    <w:rsid w:val="7EBCDFC1"/>
    <w:rsid w:val="7ECA1450"/>
    <w:rsid w:val="7EE00C43"/>
    <w:rsid w:val="7EEAAF84"/>
    <w:rsid w:val="7F3FCF54"/>
    <w:rsid w:val="7F42936B"/>
    <w:rsid w:val="7F60C5FA"/>
    <w:rsid w:val="7F63A3F3"/>
    <w:rsid w:val="7FEA5B49"/>
    <w:rsid w:val="7FFD9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6CEBA"/>
  <w15:chartTrackingRefBased/>
  <w15:docId w15:val="{9A207078-CA78-D748-9657-72556596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B99"/>
    <w:pPr>
      <w:tabs>
        <w:tab w:val="center" w:pos="4680"/>
        <w:tab w:val="right" w:pos="9360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A1B99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97CE8"/>
    <w:rPr>
      <w:color w:val="0000FF"/>
      <w:u w:val="single"/>
    </w:rPr>
  </w:style>
  <w:style w:type="paragraph" w:styleId="FootnoteText">
    <w:name w:val="footnote text"/>
    <w:aliases w:val="Tablenote Text"/>
    <w:basedOn w:val="Normal"/>
    <w:link w:val="FootnoteTextChar"/>
    <w:uiPriority w:val="99"/>
    <w:unhideWhenUsed/>
    <w:qFormat/>
    <w:rsid w:val="00197CE8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Tablenote Text Char"/>
    <w:basedOn w:val="DefaultParagraphFont"/>
    <w:link w:val="FootnoteText"/>
    <w:uiPriority w:val="99"/>
    <w:qFormat/>
    <w:rsid w:val="00197CE8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callout,4_G,Footnote Reference Number,Ref,de nota al pie,4_G Char Char,Footnote Reference1 Char Char,Footnotes refss Char Char,ftref Char Char,BVI fnr Char Char,BVI fnr Car Car Char Char,BVI fnr Car Char Char,Style 10"/>
    <w:basedOn w:val="DefaultParagraphFont"/>
    <w:uiPriority w:val="99"/>
    <w:unhideWhenUsed/>
    <w:rsid w:val="00197CE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09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5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07C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C07C2"/>
  </w:style>
  <w:style w:type="paragraph" w:styleId="Footer">
    <w:name w:val="footer"/>
    <w:basedOn w:val="Normal"/>
    <w:link w:val="FooterChar"/>
    <w:uiPriority w:val="99"/>
    <w:unhideWhenUsed/>
    <w:rsid w:val="001B6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76B"/>
  </w:style>
  <w:style w:type="table" w:styleId="TableGrid">
    <w:name w:val="Table Grid"/>
    <w:basedOn w:val="TableNormal"/>
    <w:uiPriority w:val="59"/>
    <w:rsid w:val="00C86D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C01CC"/>
  </w:style>
  <w:style w:type="character" w:styleId="Mention">
    <w:name w:val="Mention"/>
    <w:basedOn w:val="DefaultParagraphFont"/>
    <w:uiPriority w:val="99"/>
    <w:unhideWhenUsed/>
    <w:rsid w:val="00B251A3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1F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affairs.org/do/10.1377/forefront.20210927.6239/" TargetMode="External"/><Relationship Id="rId13" Type="http://schemas.openxmlformats.org/officeDocument/2006/relationships/hyperlink" Target="https://www.cbo.gov/system/files?file=2022-05/51302-2022-05-medicare.pdf" TargetMode="External"/><Relationship Id="rId18" Type="http://schemas.openxmlformats.org/officeDocument/2006/relationships/hyperlink" Target="https://www.kff.org/medicare/issue-brief/extra-benefits-offered-by-medicare-advantage-firms-varies/" TargetMode="External"/><Relationship Id="rId26" Type="http://schemas.openxmlformats.org/officeDocument/2006/relationships/hyperlink" Target="https://www.commonwealthfund.org/blog/2022/taking-stock-medicare-advantage-risk-adjustment" TargetMode="External"/><Relationship Id="rId3" Type="http://schemas.openxmlformats.org/officeDocument/2006/relationships/hyperlink" Target="https://www.kff.org/medicare/issue-brief/how-much-do-medicare-beneficiaries-spend-out-of-pocket-on-health-care/" TargetMode="External"/><Relationship Id="rId21" Type="http://schemas.openxmlformats.org/officeDocument/2006/relationships/hyperlink" Target="https://www.medpac.gov/document/june-2021-report-to-the-congress-medicare-and-the-health-care-delivery-system/" TargetMode="External"/><Relationship Id="rId7" Type="http://schemas.openxmlformats.org/officeDocument/2006/relationships/hyperlink" Target="https://www.gao.gov/assets/gao-16-76.pdf" TargetMode="External"/><Relationship Id="rId12" Type="http://schemas.openxmlformats.org/officeDocument/2006/relationships/hyperlink" Target="https://www.kff.org/medicare/issue-brief/medicare-advantage-2023-spotlight-first-look/" TargetMode="External"/><Relationship Id="rId17" Type="http://schemas.openxmlformats.org/officeDocument/2006/relationships/hyperlink" Target="https://bettermedicarealliance.org/news/biden-administration-proposal-could-reduce-medicare-advantage-benefits-by-540-per-beneficiary-in-2024-independent-analysis-finds/" TargetMode="External"/><Relationship Id="rId25" Type="http://schemas.openxmlformats.org/officeDocument/2006/relationships/hyperlink" Target="https://www.medpac.gov/wp-content/uploads/2021/10/Jan22_MedPAC_Meeting_Transcript_SEC.pdf" TargetMode="External"/><Relationship Id="rId2" Type="http://schemas.openxmlformats.org/officeDocument/2006/relationships/hyperlink" Target="https://www.medpac.gov/wp-content/uploads/2022/03/Mar22_MedPAC_ReportToCongress_SEC.pdf" TargetMode="External"/><Relationship Id="rId16" Type="http://schemas.openxmlformats.org/officeDocument/2006/relationships/hyperlink" Target="https://www.medpac.gov/document/june-2021-report-to-the-congress-medicare-and-the-health-care-delivery-system/" TargetMode="External"/><Relationship Id="rId20" Type="http://schemas.openxmlformats.org/officeDocument/2006/relationships/hyperlink" Target="https://www.kff.org/medicare/issue-brief/health-insurer-financial-performance/" TargetMode="External"/><Relationship Id="rId1" Type="http://schemas.openxmlformats.org/officeDocument/2006/relationships/hyperlink" Target="https://www.medpac.gov/wp-content/uploads/import_data/scrape_files/docs/default-source/reports/mar19_medpac_ch13_sec.pdf" TargetMode="External"/><Relationship Id="rId6" Type="http://schemas.openxmlformats.org/officeDocument/2006/relationships/hyperlink" Target="https://s8637.pcdn.co/wp-content/uploads/2022/10/2022-Healthcare-in-America.pdf" TargetMode="External"/><Relationship Id="rId11" Type="http://schemas.openxmlformats.org/officeDocument/2006/relationships/hyperlink" Target="https://www.kff.org/medicare/issue-brief/health-insurer-financial-performance/" TargetMode="External"/><Relationship Id="rId24" Type="http://schemas.openxmlformats.org/officeDocument/2006/relationships/hyperlink" Target="https://www.hhs.gov/about/news/2023/02/17/fact-v-fiction-biden-harris-administration-strengthening-medicare-private-industry-must-share-obligation-deliver-quality-health-care-for-americas-seniors.html" TargetMode="External"/><Relationship Id="rId5" Type="http://schemas.openxmlformats.org/officeDocument/2006/relationships/hyperlink" Target="https://www.kff.org/health-costs/poll-finding/kff-health-tracking-poll-december-2022/" TargetMode="External"/><Relationship Id="rId15" Type="http://schemas.openxmlformats.org/officeDocument/2006/relationships/hyperlink" Target="https://www.kff.org/medicare/issue-brief/higher-and-faster-growing-spending-per-medicare-advantage-enrollee-adds-to-medicares-solvency-and-affordability-challenges/" TargetMode="External"/><Relationship Id="rId23" Type="http://schemas.openxmlformats.org/officeDocument/2006/relationships/hyperlink" Target="https://www.medpac.gov/wp-content/uploads/import_data/scrape_files/docs/default-source/reports/mar21_medpac_report_to_the_congress_sec.pdf" TargetMode="External"/><Relationship Id="rId10" Type="http://schemas.openxmlformats.org/officeDocument/2006/relationships/hyperlink" Target="https://www.fiercehealthcare.com/payer/medicare-advantage-industry-s-hottest-market-2022-don-t-expect-to-change" TargetMode="External"/><Relationship Id="rId19" Type="http://schemas.openxmlformats.org/officeDocument/2006/relationships/hyperlink" Target="https://www.commonwealthfund.org/publications/issue-briefs/2022/oct/traditional-medicare-or-advantage-how-older-americans-choose" TargetMode="External"/><Relationship Id="rId4" Type="http://schemas.openxmlformats.org/officeDocument/2006/relationships/hyperlink" Target="https://www.kff.org/health-costs/issue-brief/americans-challenges-with-health-care-costs/" TargetMode="External"/><Relationship Id="rId9" Type="http://schemas.openxmlformats.org/officeDocument/2006/relationships/hyperlink" Target="https://khn.org/news/article/cms-audits-medicare-advantage-plans-can-keep-hundreds-of-millions-in-federal-overpayments-maybe-more/" TargetMode="External"/><Relationship Id="rId14" Type="http://schemas.openxmlformats.org/officeDocument/2006/relationships/hyperlink" Target="https://www.kff.org/medicare/slide/the-growth-in-share-of-medicare-advantage-spending/" TargetMode="External"/><Relationship Id="rId22" Type="http://schemas.openxmlformats.org/officeDocument/2006/relationships/hyperlink" Target="https://www.kff.org/medicare/issue-brief/higher-and-faster-growing-spending-per-medicare-advantage-enrollee-adds-to-medicares-solvency-and-affordability-challen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F65F81-002D-AC4D-89C8-5A4F0735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1490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Copeland</dc:creator>
  <cp:keywords/>
  <dc:description/>
  <cp:lastModifiedBy>Lindsey Copeland</cp:lastModifiedBy>
  <cp:revision>3</cp:revision>
  <dcterms:created xsi:type="dcterms:W3CDTF">2023-03-01T18:54:00Z</dcterms:created>
  <dcterms:modified xsi:type="dcterms:W3CDTF">2023-03-01T18:57:00Z</dcterms:modified>
</cp:coreProperties>
</file>